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63BA6" w14:textId="6E49D85D" w:rsidR="001056FF" w:rsidRDefault="00FD65C8" w:rsidP="008A0F5C">
      <w:pPr>
        <w:pStyle w:val="Title"/>
        <w:spacing w:line="276" w:lineRule="auto"/>
      </w:pPr>
      <w:r>
        <w:t>Nuspo</w:t>
      </w:r>
      <w:r w:rsidR="00065E21">
        <w:t>j</w:t>
      </w:r>
      <w:r>
        <w:t>ave i komplikacije uz MPO</w:t>
      </w:r>
    </w:p>
    <w:p w14:paraId="7E8B1BF4" w14:textId="749A0CA6" w:rsidR="00FD65C8" w:rsidRDefault="008A0F5C" w:rsidP="008A0F5C">
      <w:pPr>
        <w:pStyle w:val="ListParagraph"/>
        <w:numPr>
          <w:ilvl w:val="0"/>
          <w:numId w:val="1"/>
        </w:numPr>
        <w:spacing w:line="276" w:lineRule="auto"/>
        <w:jc w:val="center"/>
      </w:pPr>
      <w:r>
        <w:t>i</w:t>
      </w:r>
      <w:r w:rsidR="00FD65C8">
        <w:t>zvantjelesne oplodnje</w:t>
      </w:r>
      <w:r w:rsidR="00A550D8">
        <w:t xml:space="preserve"> – </w:t>
      </w:r>
    </w:p>
    <w:p w14:paraId="4421420F" w14:textId="54E44293" w:rsidR="00A550D8" w:rsidRDefault="00A550D8" w:rsidP="00A550D8">
      <w:pPr>
        <w:pStyle w:val="ListParagraph"/>
        <w:spacing w:line="276" w:lineRule="auto"/>
      </w:pPr>
    </w:p>
    <w:p w14:paraId="53DAEE6C" w14:textId="09D1A9B3" w:rsidR="00A550D8" w:rsidRDefault="00A550D8" w:rsidP="00A550D8">
      <w:pPr>
        <w:pStyle w:val="ListParagraph"/>
        <w:spacing w:line="276" w:lineRule="auto"/>
        <w:jc w:val="center"/>
        <w:rPr>
          <w:i/>
          <w:iCs/>
          <w:sz w:val="20"/>
          <w:szCs w:val="20"/>
        </w:rPr>
      </w:pPr>
      <w:r w:rsidRPr="00A550D8">
        <w:rPr>
          <w:i/>
          <w:iCs/>
          <w:sz w:val="20"/>
          <w:szCs w:val="20"/>
        </w:rPr>
        <w:t>Prof.dr.sc. Velimir Šimunić</w:t>
      </w:r>
    </w:p>
    <w:p w14:paraId="4B67EFEC" w14:textId="77777777" w:rsidR="00A550D8" w:rsidRPr="00A550D8" w:rsidRDefault="00A550D8" w:rsidP="00A550D8">
      <w:pPr>
        <w:pStyle w:val="ListParagraph"/>
        <w:spacing w:line="276" w:lineRule="auto"/>
        <w:jc w:val="center"/>
        <w:rPr>
          <w:i/>
          <w:iCs/>
          <w:sz w:val="20"/>
          <w:szCs w:val="20"/>
        </w:rPr>
      </w:pPr>
    </w:p>
    <w:p w14:paraId="39BC58E0" w14:textId="21FE4A2B" w:rsidR="00FD65C8" w:rsidRDefault="00FD65C8" w:rsidP="00A550D8">
      <w:pPr>
        <w:spacing w:line="276" w:lineRule="auto"/>
      </w:pPr>
      <w:r>
        <w:t>Kao i svako liječenje, uporaba lijekova, zahvati, medicinski pomognuta oplodnja donosi određene zdravstvene rizike. Male ali oni postoje. Op</w:t>
      </w:r>
      <w:r w:rsidR="00065E21">
        <w:t>i</w:t>
      </w:r>
      <w:r>
        <w:t>sat ćemo i upozoriti pacijente na najčešće rizike.</w:t>
      </w:r>
      <w:r w:rsidR="005F4D03">
        <w:t xml:space="preserve"> </w:t>
      </w:r>
    </w:p>
    <w:p w14:paraId="09AA5F52" w14:textId="77777777" w:rsidR="005F4D03" w:rsidRDefault="005F4D03" w:rsidP="008A0F5C">
      <w:pPr>
        <w:spacing w:line="276" w:lineRule="auto"/>
        <w:ind w:firstLine="360"/>
      </w:pPr>
    </w:p>
    <w:p w14:paraId="68178D60" w14:textId="77777777" w:rsidR="00FD65C8" w:rsidRPr="005F4D03" w:rsidRDefault="00FD65C8" w:rsidP="008A0F5C">
      <w:pPr>
        <w:pStyle w:val="ListParagraph"/>
        <w:numPr>
          <w:ilvl w:val="0"/>
          <w:numId w:val="3"/>
        </w:numPr>
        <w:spacing w:line="276" w:lineRule="auto"/>
        <w:rPr>
          <w:b/>
        </w:rPr>
      </w:pPr>
      <w:r w:rsidRPr="005F4D03">
        <w:rPr>
          <w:b/>
        </w:rPr>
        <w:t>Primjena lijekova za stimulaciju ovulacije i potporu LF</w:t>
      </w:r>
    </w:p>
    <w:p w14:paraId="6A978BBE" w14:textId="28F8F510" w:rsidR="00FD65C8" w:rsidRDefault="00FD65C8" w:rsidP="008A0F5C">
      <w:pPr>
        <w:spacing w:line="276" w:lineRule="auto"/>
        <w:ind w:left="360" w:firstLine="360"/>
      </w:pPr>
      <w:r>
        <w:t>U pravilu je MPO uspješnija kada se stimulira ovulacija lijekovima. Za blaže protokole rabe se anti-hormoni u tabletama (</w:t>
      </w:r>
      <w:r w:rsidR="00A550D8">
        <w:t>K</w:t>
      </w:r>
      <w:r>
        <w:t>lomid</w:t>
      </w:r>
      <w:r w:rsidR="00A550D8">
        <w:t>,</w:t>
      </w:r>
      <w:r>
        <w:t xml:space="preserve"> Letrozol), a najčešće hormoni jajnika i hipofize u injekcijama (FSH, LH, HCG, Progesteron). Za kontrolu endogen</w:t>
      </w:r>
      <w:r w:rsidR="005F4D03">
        <w:t>ih hormona, koriste se analozi G</w:t>
      </w:r>
      <w:r>
        <w:t>nRH</w:t>
      </w:r>
      <w:r w:rsidR="005F4D03">
        <w:t>. Ti se lijekovi daju potkožno (supkutano) ili intramuskularno (IM). Najčešće su nuspojave:</w:t>
      </w:r>
    </w:p>
    <w:p w14:paraId="52D8D921" w14:textId="77777777" w:rsidR="005F4D03" w:rsidRDefault="005F4D03" w:rsidP="008A0F5C">
      <w:pPr>
        <w:pStyle w:val="ListParagraph"/>
        <w:numPr>
          <w:ilvl w:val="0"/>
          <w:numId w:val="4"/>
        </w:numPr>
        <w:spacing w:line="276" w:lineRule="auto"/>
      </w:pPr>
      <w:r>
        <w:t>Crvenilo, oteklina,svrbež, bol- na mjestu primjene</w:t>
      </w:r>
    </w:p>
    <w:p w14:paraId="640EB069" w14:textId="77777777" w:rsidR="005F4D03" w:rsidRDefault="005F4D03" w:rsidP="008A0F5C">
      <w:pPr>
        <w:pStyle w:val="ListParagraph"/>
        <w:numPr>
          <w:ilvl w:val="2"/>
          <w:numId w:val="1"/>
        </w:numPr>
        <w:spacing w:line="276" w:lineRule="auto"/>
      </w:pPr>
      <w:r>
        <w:t>blage i prolazne promjene- učestalost 1-5%</w:t>
      </w:r>
    </w:p>
    <w:p w14:paraId="22929BCA" w14:textId="77777777" w:rsidR="005F4D03" w:rsidRDefault="005F4D03" w:rsidP="008A0F5C">
      <w:pPr>
        <w:pStyle w:val="ListParagraph"/>
        <w:numPr>
          <w:ilvl w:val="0"/>
          <w:numId w:val="4"/>
        </w:numPr>
        <w:spacing w:line="276" w:lineRule="auto"/>
      </w:pPr>
      <w:r>
        <w:t>Progesteron I.M. može izazvati jaču bol, a uz ponavljanje stvara se rizik lokalnog apscesa (0,5%)</w:t>
      </w:r>
    </w:p>
    <w:p w14:paraId="6D6F6095" w14:textId="77777777" w:rsidR="005F4D03" w:rsidRDefault="005F4D03" w:rsidP="008A0F5C">
      <w:pPr>
        <w:pStyle w:val="ListParagraph"/>
        <w:numPr>
          <w:ilvl w:val="0"/>
          <w:numId w:val="4"/>
        </w:numPr>
        <w:spacing w:line="276" w:lineRule="auto"/>
      </w:pPr>
      <w:r>
        <w:t>Hiperstimulacija jajnika (OHSS- ovarian hyperstimulation syndrome)- Opisano posebno.</w:t>
      </w:r>
    </w:p>
    <w:p w14:paraId="64D929EA" w14:textId="77777777" w:rsidR="005F4D03" w:rsidRDefault="005F4D03" w:rsidP="008A0F5C">
      <w:pPr>
        <w:pStyle w:val="ListParagraph"/>
        <w:numPr>
          <w:ilvl w:val="0"/>
          <w:numId w:val="4"/>
        </w:numPr>
        <w:spacing w:line="276" w:lineRule="auto"/>
      </w:pPr>
      <w:r>
        <w:t>Mučnine i povraćanje (vrlo rijetko)</w:t>
      </w:r>
    </w:p>
    <w:p w14:paraId="7A29E486" w14:textId="77777777" w:rsidR="005F4D03" w:rsidRDefault="005F4D03" w:rsidP="008A0F5C">
      <w:pPr>
        <w:pStyle w:val="ListParagraph"/>
        <w:numPr>
          <w:ilvl w:val="0"/>
          <w:numId w:val="4"/>
        </w:numPr>
        <w:spacing w:line="276" w:lineRule="auto"/>
      </w:pPr>
      <w:r>
        <w:t>Promjene ponašanja i umor (rijetko)</w:t>
      </w:r>
    </w:p>
    <w:p w14:paraId="3430E5D0" w14:textId="77777777" w:rsidR="005F4D03" w:rsidRDefault="005F4D03" w:rsidP="008A0F5C">
      <w:pPr>
        <w:pStyle w:val="ListParagraph"/>
        <w:numPr>
          <w:ilvl w:val="0"/>
          <w:numId w:val="4"/>
        </w:numPr>
        <w:spacing w:after="240" w:line="276" w:lineRule="auto"/>
        <w:ind w:left="1434" w:hanging="357"/>
      </w:pPr>
      <w:r>
        <w:t>Napetost, osjetljivost dojki.</w:t>
      </w:r>
    </w:p>
    <w:p w14:paraId="52ED1D3A" w14:textId="77777777" w:rsidR="005F4D03" w:rsidRDefault="005F4D03" w:rsidP="008A0F5C">
      <w:pPr>
        <w:pStyle w:val="ListParagraph"/>
        <w:spacing w:after="240" w:line="276" w:lineRule="auto"/>
        <w:ind w:left="1434"/>
      </w:pPr>
    </w:p>
    <w:p w14:paraId="6D870A8A" w14:textId="77777777" w:rsidR="005F4D03" w:rsidRDefault="005F4D03" w:rsidP="008A0F5C">
      <w:pPr>
        <w:pStyle w:val="ListParagraph"/>
        <w:numPr>
          <w:ilvl w:val="0"/>
          <w:numId w:val="3"/>
        </w:numPr>
        <w:spacing w:after="240" w:line="276" w:lineRule="auto"/>
        <w:ind w:left="714" w:hanging="357"/>
        <w:rPr>
          <w:b/>
        </w:rPr>
      </w:pPr>
      <w:r w:rsidRPr="005F4D03">
        <w:rPr>
          <w:b/>
        </w:rPr>
        <w:t>Rizici aspiracije jajnih stanica</w:t>
      </w:r>
    </w:p>
    <w:p w14:paraId="70AC537B" w14:textId="77777777" w:rsidR="00807F30" w:rsidRDefault="00807F30" w:rsidP="008A0F5C">
      <w:pPr>
        <w:pStyle w:val="ListParagraph"/>
        <w:spacing w:after="240" w:line="276" w:lineRule="auto"/>
        <w:ind w:left="714"/>
        <w:rPr>
          <w:b/>
        </w:rPr>
      </w:pPr>
    </w:p>
    <w:p w14:paraId="1E0B7F8F" w14:textId="00100769" w:rsidR="005F4D03" w:rsidRDefault="005F4D03" w:rsidP="008A0F5C">
      <w:pPr>
        <w:pStyle w:val="ListParagraph"/>
        <w:numPr>
          <w:ilvl w:val="0"/>
          <w:numId w:val="5"/>
        </w:numPr>
        <w:spacing w:before="240" w:after="0" w:line="276" w:lineRule="auto"/>
        <w:ind w:left="1429" w:hanging="357"/>
      </w:pPr>
      <w:r w:rsidRPr="005F4D03">
        <w:t>Anestezija</w:t>
      </w:r>
      <w:r w:rsidR="00145510">
        <w:t>,</w:t>
      </w:r>
      <w:r w:rsidRPr="005F4D03">
        <w:t xml:space="preserve"> analgezija</w:t>
      </w:r>
      <w:r w:rsidR="00145510">
        <w:t>,</w:t>
      </w:r>
      <w:r w:rsidR="00A550D8">
        <w:t xml:space="preserve"> </w:t>
      </w:r>
      <w:r w:rsidR="00145510">
        <w:t>analgosedacija- svaka uporaba anestetika, sedativa, narkotika donosi rizik alergi</w:t>
      </w:r>
      <w:r w:rsidR="00A550D8">
        <w:t>jsk</w:t>
      </w:r>
      <w:r w:rsidR="00145510">
        <w:t>e reakcije ili čak anafilaksije</w:t>
      </w:r>
      <w:r w:rsidR="00A550D8">
        <w:t>.</w:t>
      </w:r>
      <w:r w:rsidR="00145510">
        <w:t xml:space="preserve"> Što je dublja i produljena anestezija</w:t>
      </w:r>
      <w:r w:rsidR="00A550D8">
        <w:t xml:space="preserve"> </w:t>
      </w:r>
      <w:r w:rsidR="00145510">
        <w:t>- viši je rizik. Zbog toga je nužno poznavati sve anti-šok procedure i imati blisku dostupnost airway</w:t>
      </w:r>
      <w:r w:rsidR="00A550D8">
        <w:t>-</w:t>
      </w:r>
      <w:r w:rsidR="00145510">
        <w:t>a, kisika i medikamenata. Monitoriranje.</w:t>
      </w:r>
    </w:p>
    <w:p w14:paraId="3A295DC0" w14:textId="4779FA05" w:rsidR="00145510" w:rsidRDefault="00145510" w:rsidP="008A0F5C">
      <w:pPr>
        <w:pStyle w:val="ListParagraph"/>
        <w:numPr>
          <w:ilvl w:val="0"/>
          <w:numId w:val="5"/>
        </w:numPr>
        <w:spacing w:before="120" w:after="0" w:line="276" w:lineRule="auto"/>
        <w:ind w:left="1429" w:hanging="357"/>
      </w:pPr>
      <w:r>
        <w:t>Hipotenzija, hipoglikemija, povraćanje</w:t>
      </w:r>
      <w:r w:rsidR="00A550D8">
        <w:t xml:space="preserve"> </w:t>
      </w:r>
      <w:r>
        <w:t>- su češće nuspojave anestezije i zahvata (5-10%). Pacijentice na zahvat dolaze na tašte, u stresu, isčekivanju, strahu- zato če</w:t>
      </w:r>
      <w:r w:rsidR="00A550D8">
        <w:t>s</w:t>
      </w:r>
      <w:r>
        <w:t>to rabimo infuzije, monitoriranje, skrb.</w:t>
      </w:r>
    </w:p>
    <w:p w14:paraId="5FFE6F8E" w14:textId="77777777" w:rsidR="001C120A" w:rsidRDefault="001C120A" w:rsidP="008A0F5C">
      <w:pPr>
        <w:pStyle w:val="ListParagraph"/>
        <w:numPr>
          <w:ilvl w:val="0"/>
          <w:numId w:val="5"/>
        </w:numPr>
        <w:spacing w:before="120" w:after="0" w:line="276" w:lineRule="auto"/>
        <w:ind w:left="1429" w:hanging="357"/>
      </w:pPr>
      <w:r>
        <w:t>Bol u zdjelici i donjem trbuhu u vrijeme i poslije zahvata (često). Uz paracetamol ili brufen smetnje prestaju za nekoliko sati ili tijekom dana.</w:t>
      </w:r>
    </w:p>
    <w:p w14:paraId="3F0A8E80" w14:textId="77777777" w:rsidR="001C120A" w:rsidRDefault="001C120A" w:rsidP="008A0F5C">
      <w:pPr>
        <w:pStyle w:val="ListParagraph"/>
        <w:numPr>
          <w:ilvl w:val="0"/>
          <w:numId w:val="5"/>
        </w:numPr>
        <w:spacing w:before="120" w:after="0" w:line="276" w:lineRule="auto"/>
        <w:ind w:left="1429" w:hanging="357"/>
      </w:pPr>
      <w:r>
        <w:lastRenderedPageBreak/>
        <w:t>Krvarenje iz uboda (stijenke rodnice forniksa) češće blago do srednje (8-15% učestalost). Može bitii obilnije (2-3%). U tim okolnostima primjenjujemo tamponadu, Monselovu otopinu ili šav preko peana.</w:t>
      </w:r>
    </w:p>
    <w:p w14:paraId="13099E44" w14:textId="77777777" w:rsidR="001C120A" w:rsidRDefault="001C120A" w:rsidP="008A0F5C">
      <w:pPr>
        <w:pStyle w:val="ListParagraph"/>
        <w:numPr>
          <w:ilvl w:val="0"/>
          <w:numId w:val="5"/>
        </w:numPr>
        <w:spacing w:before="120" w:after="0" w:line="276" w:lineRule="auto"/>
        <w:ind w:left="1429" w:hanging="357"/>
      </w:pPr>
      <w:r>
        <w:t>Ozlijede žila, organa u zdjelici (mjehur, crijevo), ozljeda- ruptura jajnika.</w:t>
      </w:r>
    </w:p>
    <w:p w14:paraId="73096167" w14:textId="77777777" w:rsidR="001C120A" w:rsidRDefault="001C120A" w:rsidP="008A0F5C">
      <w:pPr>
        <w:pStyle w:val="ListParagraph"/>
        <w:spacing w:before="120" w:after="0" w:line="276" w:lineRule="auto"/>
        <w:ind w:left="1429"/>
      </w:pPr>
      <w:r>
        <w:t>Mogu izazvati krvarenje u trbuh, hematome, hematom jajnika. Takve su ozlijede rijetke 1-2/1000</w:t>
      </w:r>
      <w:r w:rsidR="00585D13">
        <w:t>,</w:t>
      </w:r>
      <w:r>
        <w:t xml:space="preserve"> a zahtijevaju žurnu intervenciju</w:t>
      </w:r>
      <w:r w:rsidR="00585D13">
        <w:t>i operaciju.</w:t>
      </w:r>
    </w:p>
    <w:p w14:paraId="49EAB04B" w14:textId="6EA73AE7" w:rsidR="00585D13" w:rsidRDefault="00585D13" w:rsidP="008A0F5C">
      <w:pPr>
        <w:pStyle w:val="ListParagraph"/>
        <w:spacing w:before="120" w:after="0" w:line="276" w:lineRule="auto"/>
        <w:ind w:left="1429"/>
      </w:pPr>
      <w:r>
        <w:t>Manifestiraju se općom slabošću, boli hipotenzijom i eventualnim hemoraškim šokom.</w:t>
      </w:r>
    </w:p>
    <w:p w14:paraId="4B79FB19" w14:textId="208BA4BC" w:rsidR="00585D13" w:rsidRDefault="00585D13" w:rsidP="008A0F5C">
      <w:pPr>
        <w:pStyle w:val="ListParagraph"/>
        <w:numPr>
          <w:ilvl w:val="0"/>
          <w:numId w:val="5"/>
        </w:numPr>
        <w:spacing w:before="120" w:after="0" w:line="276" w:lineRule="auto"/>
      </w:pPr>
      <w:r>
        <w:t>Torzija jajnika nastaje rijetko (0,2-0,5%) zbog rotacije i manipulacije s velikim jajnikom. Rana tjelovježba, promjena položaja tijela doprinose tom riziku.</w:t>
      </w:r>
    </w:p>
    <w:p w14:paraId="21A2BD5C" w14:textId="77777777" w:rsidR="00585D13" w:rsidRDefault="00585D13" w:rsidP="008A0F5C">
      <w:pPr>
        <w:pStyle w:val="ListParagraph"/>
        <w:spacing w:before="120" w:after="0" w:line="276" w:lineRule="auto"/>
        <w:ind w:left="1434"/>
      </w:pPr>
      <w:r>
        <w:t>Karakterizira ju iznenadna snažna bol, nesvjestica, šok. Brzom hospitalnom intervencijom- laparoskopska detorzija može se spasiti jajnik od gubitka cirkulacije i afunkcije</w:t>
      </w:r>
      <w:r w:rsidR="0067637B">
        <w:t>. U protivnom se mora odstraniti jajnik (i jajovod).</w:t>
      </w:r>
    </w:p>
    <w:p w14:paraId="7B472CA3" w14:textId="47090998" w:rsidR="0067637B" w:rsidRDefault="0067637B" w:rsidP="008A0F5C">
      <w:pPr>
        <w:pStyle w:val="ListParagraph"/>
        <w:numPr>
          <w:ilvl w:val="0"/>
          <w:numId w:val="5"/>
        </w:numPr>
        <w:spacing w:before="120" w:after="0" w:line="276" w:lineRule="auto"/>
      </w:pPr>
      <w:r>
        <w:t>Upala jajnika, apces, tubo-ovarijski apsces- su ozbiljne i rijetke komplikacije aspiracije (0,1-0,2%). Nastaju kod punkcije endometrioma ili ranije upale u zdjelici. Prate ju osjetljivost trbuha, def</w:t>
      </w:r>
      <w:r w:rsidR="00065E21">
        <w:t>ans</w:t>
      </w:r>
      <w:r>
        <w:t>, visoka temperatura, visok CRP, te ginekološki nalaz</w:t>
      </w:r>
      <w:r w:rsidR="00807F30">
        <w:t>. Neki u tim slučajevima rabe profilaksu antibioticima. Te su komplikacije tretiraju kao zdjelične upale (PID), u hospitalnim uvjetima.</w:t>
      </w:r>
    </w:p>
    <w:p w14:paraId="74886E96" w14:textId="77777777" w:rsidR="00807F30" w:rsidRDefault="00807F30" w:rsidP="008A0F5C">
      <w:pPr>
        <w:pStyle w:val="ListParagraph"/>
        <w:spacing w:before="120" w:after="0" w:line="276" w:lineRule="auto"/>
        <w:ind w:left="1434"/>
      </w:pPr>
      <w:r>
        <w:t>Navedeni rizici opravdavaju posebnu pažnju i brigu za pacijentice u toj fazi. Neophodan je trajni kontakt, dostupnost i postojanje kompetentne- back-up ustanove. Poliklinika IVF daje u prilogu te kontakte.</w:t>
      </w:r>
    </w:p>
    <w:p w14:paraId="3107569F" w14:textId="77777777" w:rsidR="00807F30" w:rsidRDefault="00807F30" w:rsidP="008A0F5C">
      <w:pPr>
        <w:pStyle w:val="ListParagraph"/>
        <w:spacing w:before="120" w:after="0" w:line="276" w:lineRule="auto"/>
        <w:ind w:left="1434"/>
      </w:pPr>
    </w:p>
    <w:p w14:paraId="0192DB6C" w14:textId="77777777" w:rsidR="00807F30" w:rsidRDefault="00807F30" w:rsidP="008A0F5C">
      <w:pPr>
        <w:pStyle w:val="ListParagraph"/>
        <w:numPr>
          <w:ilvl w:val="0"/>
          <w:numId w:val="3"/>
        </w:numPr>
        <w:spacing w:before="120" w:after="0" w:line="276" w:lineRule="auto"/>
      </w:pPr>
      <w:r w:rsidRPr="00807F30">
        <w:rPr>
          <w:b/>
        </w:rPr>
        <w:t>Embrio transfer</w:t>
      </w:r>
      <w:r>
        <w:t xml:space="preserve"> ne nosi rizike. Rijetko nakon teškog ET dolazi do oskudnog krv</w:t>
      </w:r>
      <w:r w:rsidR="00452460">
        <w:t>a</w:t>
      </w:r>
      <w:r>
        <w:t>renja iz cerviksa. Također su izuzetno rijetke upale poslije ET. Ponekad pacijentice nakon (ili uz) ET-a osjećaju bolove, kontrakcije maternice. Tada savjetujemo NSAID tablete, ili atosiban.</w:t>
      </w:r>
    </w:p>
    <w:p w14:paraId="79F8608C" w14:textId="77777777" w:rsidR="00807F30" w:rsidRDefault="00807F30" w:rsidP="008A0F5C">
      <w:pPr>
        <w:pStyle w:val="ListParagraph"/>
        <w:spacing w:before="120" w:after="0" w:line="276" w:lineRule="auto"/>
      </w:pPr>
    </w:p>
    <w:p w14:paraId="489CE268" w14:textId="77777777" w:rsidR="00807F30" w:rsidRDefault="00807F30" w:rsidP="008A0F5C">
      <w:pPr>
        <w:pStyle w:val="ListParagraph"/>
        <w:numPr>
          <w:ilvl w:val="0"/>
          <w:numId w:val="3"/>
        </w:numPr>
        <w:spacing w:before="120" w:after="0" w:line="276" w:lineRule="auto"/>
        <w:rPr>
          <w:b/>
        </w:rPr>
      </w:pPr>
      <w:r w:rsidRPr="00807F30">
        <w:rPr>
          <w:b/>
        </w:rPr>
        <w:t>Faza žutog tijela</w:t>
      </w:r>
    </w:p>
    <w:p w14:paraId="45A6856D" w14:textId="77D8F549" w:rsidR="00807F30" w:rsidRDefault="00807F30" w:rsidP="008A0F5C">
      <w:pPr>
        <w:spacing w:before="120" w:after="0" w:line="276" w:lineRule="auto"/>
        <w:ind w:left="720" w:firstLine="360"/>
      </w:pPr>
      <w:r w:rsidRPr="00807F30">
        <w:t>Potp</w:t>
      </w:r>
      <w:r>
        <w:t>ora funkciji žutog tij</w:t>
      </w:r>
      <w:r w:rsidR="00065E21">
        <w:t>e</w:t>
      </w:r>
      <w:r>
        <w:t>la (nakon ET) je obavezna i individualna. Kod primjene vaginalnog progesterona, posebno Crinone, Utrogestana</w:t>
      </w:r>
      <w:r w:rsidR="00065E21">
        <w:t>, p</w:t>
      </w:r>
      <w:r>
        <w:t xml:space="preserve">acijentice se žale na oskudna krvarenja, spoting, smeđi iscjedak. Te nuspojave bilježimo u 30-40% pacijetica, a one nisu nužno povezane s nižim uspjehom. Najčešća su krvarenja uz Crinone, a rijeđa uz cyclogest. Takva LPB (luteal phase bleeding) se mogu ponavljati, i obnavljati i u ranoj trudnoći. Svako krvarenje prijavljuje se </w:t>
      </w:r>
      <w:r w:rsidR="00065E21">
        <w:t>s</w:t>
      </w:r>
      <w:r>
        <w:t>vom liječniku.</w:t>
      </w:r>
    </w:p>
    <w:p w14:paraId="205971AE" w14:textId="5946E79B" w:rsidR="00452460" w:rsidRDefault="00807F30" w:rsidP="008A0F5C">
      <w:pPr>
        <w:spacing w:before="120" w:after="0" w:line="276" w:lineRule="auto"/>
        <w:ind w:left="720"/>
      </w:pPr>
      <w:r>
        <w:t xml:space="preserve">Progesteron I.M: injekcije mogu biti bolne i </w:t>
      </w:r>
      <w:r w:rsidR="00452460">
        <w:t>dovesti do upale, apscesa na mjestima ponavljanog uboda.</w:t>
      </w:r>
    </w:p>
    <w:p w14:paraId="226AD3D7" w14:textId="77777777" w:rsidR="00452460" w:rsidRDefault="00452460" w:rsidP="008A0F5C">
      <w:pPr>
        <w:spacing w:before="120" w:after="0" w:line="276" w:lineRule="auto"/>
        <w:ind w:firstLine="720"/>
      </w:pPr>
      <w:r>
        <w:lastRenderedPageBreak/>
        <w:t>Visoke doze progesterona imaju bezazlene nuspojave</w:t>
      </w:r>
    </w:p>
    <w:p w14:paraId="774D9859" w14:textId="77777777" w:rsidR="00452460" w:rsidRDefault="00452460" w:rsidP="008A0F5C">
      <w:pPr>
        <w:pStyle w:val="ListParagraph"/>
        <w:numPr>
          <w:ilvl w:val="1"/>
          <w:numId w:val="1"/>
        </w:numPr>
        <w:spacing w:before="120" w:after="0" w:line="276" w:lineRule="auto"/>
      </w:pPr>
      <w:r>
        <w:t>nadutost, opstipacija, osjetljivost dojki (mastodinija).</w:t>
      </w:r>
    </w:p>
    <w:p w14:paraId="76DA85D7" w14:textId="77777777" w:rsidR="00452460" w:rsidRDefault="00452460" w:rsidP="00A550D8">
      <w:pPr>
        <w:spacing w:before="120" w:after="0" w:line="276" w:lineRule="auto"/>
        <w:ind w:left="720"/>
      </w:pPr>
      <w:r>
        <w:t>Ponavljane injekcije HCG-a povisuju rizik za OHSS. Kod takve potpore fazi žutog tijela ne treba rano određivati testove trudnoće. Tada određujemo HCG kojeg apliciramo. I to su lažno pozitvni nalazi.</w:t>
      </w:r>
    </w:p>
    <w:p w14:paraId="384D7E85" w14:textId="20D39738" w:rsidR="00807F30" w:rsidRDefault="00A550D8" w:rsidP="00A550D8">
      <w:pPr>
        <w:spacing w:before="120" w:after="0" w:line="276" w:lineRule="auto"/>
      </w:pPr>
      <w:r>
        <w:t xml:space="preserve">         </w:t>
      </w:r>
      <w:r w:rsidR="00452460">
        <w:t>U fazi žutog tijela može se razviti rani ili kasni OHSS.</w:t>
      </w:r>
      <w:r w:rsidR="00807F30">
        <w:t xml:space="preserve"> </w:t>
      </w:r>
    </w:p>
    <w:p w14:paraId="0FFB8012" w14:textId="77777777" w:rsidR="00452460" w:rsidRDefault="00452460" w:rsidP="008A0F5C">
      <w:pPr>
        <w:spacing w:before="120" w:after="0" w:line="276" w:lineRule="auto"/>
        <w:ind w:left="360" w:firstLine="720"/>
      </w:pPr>
    </w:p>
    <w:p w14:paraId="3E6CFE84" w14:textId="77777777" w:rsidR="00452460" w:rsidRDefault="00452460" w:rsidP="008A0F5C">
      <w:pPr>
        <w:pStyle w:val="ListParagraph"/>
        <w:numPr>
          <w:ilvl w:val="0"/>
          <w:numId w:val="3"/>
        </w:numPr>
        <w:spacing w:before="120" w:after="0" w:line="276" w:lineRule="auto"/>
        <w:rPr>
          <w:b/>
        </w:rPr>
      </w:pPr>
      <w:r w:rsidRPr="00452460">
        <w:rPr>
          <w:b/>
        </w:rPr>
        <w:t>Trudnoća nakon IVF-a</w:t>
      </w:r>
    </w:p>
    <w:p w14:paraId="766CEED5" w14:textId="77777777" w:rsidR="00452460" w:rsidRDefault="00452460" w:rsidP="008A0F5C">
      <w:pPr>
        <w:pStyle w:val="ListParagraph"/>
        <w:spacing w:before="120" w:after="0" w:line="276" w:lineRule="auto"/>
        <w:rPr>
          <w:b/>
        </w:rPr>
      </w:pPr>
    </w:p>
    <w:p w14:paraId="4C135C43" w14:textId="77777777" w:rsidR="00452460" w:rsidRDefault="00452460" w:rsidP="00A550D8">
      <w:pPr>
        <w:pStyle w:val="ListParagraph"/>
        <w:spacing w:before="120" w:after="0" w:line="276" w:lineRule="auto"/>
      </w:pPr>
      <w:r w:rsidRPr="00452460">
        <w:rPr>
          <w:b/>
        </w:rPr>
        <w:t>Krvarenja</w:t>
      </w:r>
      <w:r>
        <w:t xml:space="preserve"> u ranoj IVF trudnoći su češća nego u prirodnoj trudnoći, a češća su u višeplodnim trudnoćama. Šesnaest do 25 dana nakon aspiracije trećina IVF pacijentica bilježi oskudna krvarenja. Što je krvarenje obilnije, dugotrajnije i ponavljano povisuje se rizik za spontani pobačaj. Taj je rizik viši uz pojavu subkorijalnog hematoma (&gt; 2 cm)</w:t>
      </w:r>
      <w:r w:rsidR="005527E4">
        <w:t>.</w:t>
      </w:r>
    </w:p>
    <w:p w14:paraId="1DC74BFC" w14:textId="77777777" w:rsidR="005527E4" w:rsidRDefault="005527E4" w:rsidP="008A0F5C">
      <w:pPr>
        <w:pStyle w:val="ListParagraph"/>
        <w:spacing w:before="120" w:after="0" w:line="276" w:lineRule="auto"/>
        <w:ind w:firstLine="720"/>
      </w:pPr>
      <w:r w:rsidRPr="005527E4">
        <w:t>Jedan od razloga za češća krvarenja je i viša pojavnost sindroma</w:t>
      </w:r>
      <w:r>
        <w:t xml:space="preserve"> „izgubljenog blizanca“ (- vanishing twin syndrome) nakon double ET (DET-a).</w:t>
      </w:r>
    </w:p>
    <w:p w14:paraId="01BACDA1" w14:textId="77777777" w:rsidR="005527E4" w:rsidRDefault="005527E4" w:rsidP="008A0F5C">
      <w:pPr>
        <w:pStyle w:val="ListParagraph"/>
        <w:spacing w:before="120" w:after="0" w:line="276" w:lineRule="auto"/>
        <w:ind w:firstLine="720"/>
      </w:pPr>
      <w:r>
        <w:t>Na dobru prognozu IVF trudnoće ukazuju i slijedeći biomarkeri (određeni inicijalno 10-15 dana nakon ET):</w:t>
      </w:r>
    </w:p>
    <w:p w14:paraId="766F4D1C" w14:textId="77777777" w:rsidR="005527E4" w:rsidRDefault="005527E4" w:rsidP="008A0F5C">
      <w:pPr>
        <w:pStyle w:val="ListParagraph"/>
        <w:numPr>
          <w:ilvl w:val="0"/>
          <w:numId w:val="5"/>
        </w:numPr>
        <w:spacing w:before="120" w:after="0" w:line="276" w:lineRule="auto"/>
      </w:pPr>
      <w:r>
        <w:t>Progesteron &gt; 80 nmol/L</w:t>
      </w:r>
    </w:p>
    <w:p w14:paraId="26EE3126" w14:textId="236CDB90" w:rsidR="005527E4" w:rsidRDefault="005527E4" w:rsidP="008A0F5C">
      <w:pPr>
        <w:pStyle w:val="ListParagraph"/>
        <w:numPr>
          <w:ilvl w:val="0"/>
          <w:numId w:val="5"/>
        </w:numPr>
        <w:spacing w:before="120" w:after="0" w:line="276" w:lineRule="auto"/>
      </w:pPr>
      <w:r>
        <w:t>Estradiol &gt; 250pg</w:t>
      </w:r>
      <w:r w:rsidR="00462559">
        <w:t>/</w:t>
      </w:r>
      <w:r>
        <w:t>ml</w:t>
      </w:r>
    </w:p>
    <w:p w14:paraId="1AE040AB" w14:textId="35CA43F4" w:rsidR="005527E4" w:rsidRDefault="005527E4" w:rsidP="008A0F5C">
      <w:pPr>
        <w:pStyle w:val="ListParagraph"/>
        <w:numPr>
          <w:ilvl w:val="0"/>
          <w:numId w:val="5"/>
        </w:numPr>
        <w:spacing w:before="120" w:after="0" w:line="276" w:lineRule="auto"/>
      </w:pPr>
      <w:r>
        <w:t>HCG &gt;100/200 IU/L (podvostruč</w:t>
      </w:r>
      <w:r w:rsidR="00462559">
        <w:t>enje</w:t>
      </w:r>
      <w:r>
        <w:t xml:space="preserve"> za 1,6- 2,5 dana)</w:t>
      </w:r>
    </w:p>
    <w:p w14:paraId="281DAD00" w14:textId="77777777" w:rsidR="005527E4" w:rsidRDefault="005527E4" w:rsidP="008A0F5C">
      <w:pPr>
        <w:pStyle w:val="ListParagraph"/>
        <w:numPr>
          <w:ilvl w:val="0"/>
          <w:numId w:val="5"/>
        </w:numPr>
        <w:spacing w:before="120" w:after="0" w:line="276" w:lineRule="auto"/>
      </w:pPr>
      <w:r>
        <w:rPr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E0700" wp14:editId="108F78FF">
                <wp:simplePos x="0" y="0"/>
                <wp:positionH relativeFrom="column">
                  <wp:posOffset>3430499</wp:posOffset>
                </wp:positionH>
                <wp:positionV relativeFrom="paragraph">
                  <wp:posOffset>67615</wp:posOffset>
                </wp:positionV>
                <wp:extent cx="95098" cy="409651"/>
                <wp:effectExtent l="0" t="0" r="38735" b="28575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98" cy="409651"/>
                        </a:xfrm>
                        <a:prstGeom prst="rightBrac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8F914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270.1pt;margin-top:5.3pt;width:7.5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" adj="418" strokecolor="black [3213]" strokeweight="1.5pt">
                <v:stroke joinstyle="miter"/>
              </v:shape>
            </w:pict>
          </mc:Fallback>
        </mc:AlternateContent>
      </w:r>
      <w:r>
        <w:t>UZV</w:t>
      </w:r>
      <w:r>
        <w:tab/>
        <w:t>- gestacijska vreća 5-10 mm</w:t>
      </w:r>
    </w:p>
    <w:p w14:paraId="15829A6A" w14:textId="77777777" w:rsidR="005527E4" w:rsidRDefault="005527E4" w:rsidP="008A0F5C">
      <w:pPr>
        <w:pStyle w:val="ListParagraph"/>
        <w:spacing w:before="120" w:after="0" w:line="276" w:lineRule="auto"/>
        <w:ind w:left="6120"/>
      </w:pPr>
      <w:r>
        <w:t>5 tj.</w:t>
      </w:r>
    </w:p>
    <w:p w14:paraId="4E6A9DF0" w14:textId="77777777" w:rsidR="005527E4" w:rsidRDefault="005527E4" w:rsidP="008A0F5C">
      <w:pPr>
        <w:pStyle w:val="ListParagraph"/>
        <w:numPr>
          <w:ilvl w:val="0"/>
          <w:numId w:val="1"/>
        </w:numPr>
        <w:spacing w:before="120" w:after="0" w:line="276" w:lineRule="auto"/>
        <w:ind w:left="2410" w:hanging="283"/>
      </w:pPr>
      <w:r>
        <w:t>žumančana vreča 3-5 mm</w:t>
      </w:r>
    </w:p>
    <w:p w14:paraId="6B39DA53" w14:textId="77777777" w:rsidR="005527E4" w:rsidRDefault="005527E4" w:rsidP="008A0F5C">
      <w:pPr>
        <w:pStyle w:val="ListParagraph"/>
        <w:numPr>
          <w:ilvl w:val="0"/>
          <w:numId w:val="1"/>
        </w:numPr>
        <w:spacing w:before="120" w:after="0" w:line="276" w:lineRule="auto"/>
        <w:ind w:left="2410" w:hanging="283"/>
      </w:pPr>
      <w:r>
        <w:t>aktivno srce/ cirkulacija (6-7 tj)</w:t>
      </w:r>
    </w:p>
    <w:p w14:paraId="25798FB3" w14:textId="77777777" w:rsidR="005527E4" w:rsidRDefault="005527E4" w:rsidP="008A0F5C">
      <w:pPr>
        <w:pStyle w:val="ListParagraph"/>
        <w:numPr>
          <w:ilvl w:val="0"/>
          <w:numId w:val="1"/>
        </w:numPr>
        <w:spacing w:before="120" w:after="0" w:line="276" w:lineRule="auto"/>
        <w:ind w:left="2410" w:hanging="283"/>
      </w:pPr>
      <w:r>
        <w:t>embrio 2-5 mm</w:t>
      </w:r>
    </w:p>
    <w:p w14:paraId="438A8F15" w14:textId="77777777" w:rsidR="005527E4" w:rsidRDefault="005527E4" w:rsidP="008A0F5C">
      <w:pPr>
        <w:pStyle w:val="ListParagraph"/>
        <w:numPr>
          <w:ilvl w:val="0"/>
          <w:numId w:val="9"/>
        </w:numPr>
        <w:spacing w:before="120" w:after="0" w:line="276" w:lineRule="auto"/>
        <w:ind w:firstLine="414"/>
      </w:pPr>
      <w:r>
        <w:t>povišen CA-125- rizik za pobačaj.</w:t>
      </w:r>
    </w:p>
    <w:p w14:paraId="359FF64A" w14:textId="77777777" w:rsidR="005527E4" w:rsidRDefault="005527E4" w:rsidP="008A0F5C">
      <w:pPr>
        <w:spacing w:before="120" w:after="0" w:line="276" w:lineRule="auto"/>
        <w:ind w:left="720" w:firstLine="720"/>
        <w:rPr>
          <w:rFonts w:cs="Arial"/>
          <w:color w:val="000000" w:themeColor="text1"/>
          <w:shd w:val="clear" w:color="auto" w:fill="FFFFFF"/>
        </w:rPr>
      </w:pPr>
      <w:r w:rsidRPr="00C9277E">
        <w:rPr>
          <w:b/>
        </w:rPr>
        <w:t>Spontani pobačaji</w:t>
      </w:r>
      <w:r>
        <w:t xml:space="preserve"> imaju istu učestalost u IVF i prirodnim trudnoćama </w:t>
      </w:r>
      <w:r w:rsidRPr="005527E4">
        <w:rPr>
          <w:color w:val="000000" w:themeColor="text1"/>
        </w:rPr>
        <w:t>≈</w:t>
      </w:r>
      <w:r w:rsidRPr="005527E4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5527E4">
        <w:rPr>
          <w:rFonts w:cs="Arial"/>
          <w:color w:val="000000" w:themeColor="text1"/>
          <w:shd w:val="clear" w:color="auto" w:fill="FFFFFF"/>
        </w:rPr>
        <w:t>15% za opću populaciju. Međutim učestalost pobačaja u pacije</w:t>
      </w:r>
      <w:r>
        <w:rPr>
          <w:rFonts w:cs="Arial"/>
          <w:color w:val="000000" w:themeColor="text1"/>
          <w:shd w:val="clear" w:color="auto" w:fill="FFFFFF"/>
        </w:rPr>
        <w:t>n</w:t>
      </w:r>
      <w:r w:rsidRPr="005527E4">
        <w:rPr>
          <w:rFonts w:cs="Arial"/>
          <w:color w:val="000000" w:themeColor="text1"/>
          <w:shd w:val="clear" w:color="auto" w:fill="FFFFFF"/>
        </w:rPr>
        <w:t>tica</w:t>
      </w:r>
      <w:r w:rsidR="003B0959">
        <w:rPr>
          <w:rFonts w:cs="Arial"/>
          <w:color w:val="000000" w:themeColor="text1"/>
          <w:shd w:val="clear" w:color="auto" w:fill="FFFFFF"/>
        </w:rPr>
        <w:t xml:space="preserve"> iznad 40 godina može biti i do 40-50%.</w:t>
      </w:r>
    </w:p>
    <w:p w14:paraId="54B850AB" w14:textId="4901D469" w:rsidR="003B0959" w:rsidRDefault="003B0959" w:rsidP="008A0F5C">
      <w:pPr>
        <w:spacing w:before="120" w:after="0" w:line="276" w:lineRule="auto"/>
        <w:ind w:left="720"/>
        <w:rPr>
          <w:rFonts w:cs="Arial"/>
          <w:color w:val="000000" w:themeColor="text1"/>
          <w:shd w:val="clear" w:color="auto" w:fill="FFFFFF"/>
        </w:rPr>
      </w:pPr>
      <w:r>
        <w:rPr>
          <w:rFonts w:cs="Arial"/>
          <w:color w:val="000000" w:themeColor="text1"/>
          <w:shd w:val="clear" w:color="auto" w:fill="FFFFFF"/>
        </w:rPr>
        <w:t xml:space="preserve">Posebna su kategorija tzv. biokemijske trudnoće kojih je u IVF okolnostima 7-8%. </w:t>
      </w:r>
      <w:r w:rsidR="00462559">
        <w:rPr>
          <w:rFonts w:cs="Arial"/>
          <w:color w:val="000000" w:themeColor="text1"/>
          <w:shd w:val="clear" w:color="auto" w:fill="FFFFFF"/>
        </w:rPr>
        <w:t>B</w:t>
      </w:r>
      <w:r>
        <w:rPr>
          <w:rFonts w:cs="Arial"/>
          <w:color w:val="000000" w:themeColor="text1"/>
          <w:shd w:val="clear" w:color="auto" w:fill="FFFFFF"/>
        </w:rPr>
        <w:t xml:space="preserve">iokemijske trudnoće su vrlo rani spontani pobačaji koji se prikazuju s </w:t>
      </w:r>
      <w:r w:rsidR="00462559">
        <w:rPr>
          <w:rFonts w:cs="Arial"/>
          <w:color w:val="000000" w:themeColor="text1"/>
          <w:shd w:val="clear" w:color="auto" w:fill="FFFFFF"/>
        </w:rPr>
        <w:t>prolaznim</w:t>
      </w:r>
      <w:r>
        <w:rPr>
          <w:rFonts w:cs="Arial"/>
          <w:color w:val="000000" w:themeColor="text1"/>
          <w:shd w:val="clear" w:color="auto" w:fill="FFFFFF"/>
        </w:rPr>
        <w:t xml:space="preserve"> nižim HCG-om. Krvarenje označavamo kao prijeteći pobačaj.</w:t>
      </w:r>
    </w:p>
    <w:p w14:paraId="3DFB9D84" w14:textId="72B99475" w:rsidR="003B0959" w:rsidRDefault="003B0959" w:rsidP="008A0F5C">
      <w:pPr>
        <w:spacing w:before="120" w:after="0" w:line="276" w:lineRule="auto"/>
        <w:ind w:left="720"/>
        <w:rPr>
          <w:rFonts w:cs="Arial"/>
          <w:color w:val="000000" w:themeColor="text1"/>
          <w:shd w:val="clear" w:color="auto" w:fill="FFFFFF"/>
        </w:rPr>
      </w:pPr>
      <w:r>
        <w:rPr>
          <w:rFonts w:cs="Arial"/>
          <w:color w:val="000000" w:themeColor="text1"/>
          <w:shd w:val="clear" w:color="auto" w:fill="FFFFFF"/>
        </w:rPr>
        <w:t>Spontani pobačaji su češći kod dugotrajnog i obilnijeg krv</w:t>
      </w:r>
      <w:r w:rsidR="006D3E62">
        <w:rPr>
          <w:rFonts w:cs="Arial"/>
          <w:color w:val="000000" w:themeColor="text1"/>
          <w:shd w:val="clear" w:color="auto" w:fill="FFFFFF"/>
        </w:rPr>
        <w:t>a</w:t>
      </w:r>
      <w:r>
        <w:rPr>
          <w:rFonts w:cs="Arial"/>
          <w:color w:val="000000" w:themeColor="text1"/>
          <w:shd w:val="clear" w:color="auto" w:fill="FFFFFF"/>
        </w:rPr>
        <w:t>renja</w:t>
      </w:r>
      <w:r w:rsidR="00462559">
        <w:rPr>
          <w:rFonts w:cs="Arial"/>
          <w:color w:val="000000" w:themeColor="text1"/>
          <w:shd w:val="clear" w:color="auto" w:fill="FFFFFF"/>
        </w:rPr>
        <w:t xml:space="preserve"> </w:t>
      </w:r>
      <w:r>
        <w:rPr>
          <w:rFonts w:cs="Arial"/>
          <w:color w:val="000000" w:themeColor="text1"/>
          <w:shd w:val="clear" w:color="auto" w:fill="FFFFFF"/>
        </w:rPr>
        <w:t>i većeg hematoma, te kod ponavljanih pobačaja.</w:t>
      </w:r>
    </w:p>
    <w:p w14:paraId="78D6B248" w14:textId="7E68B915" w:rsidR="003B0959" w:rsidRDefault="003B0959" w:rsidP="008A0F5C">
      <w:pPr>
        <w:spacing w:before="120" w:after="0" w:line="276" w:lineRule="auto"/>
        <w:ind w:left="720" w:firstLine="720"/>
        <w:rPr>
          <w:rFonts w:cs="Arial"/>
          <w:color w:val="000000" w:themeColor="text1"/>
          <w:shd w:val="clear" w:color="auto" w:fill="FFFFFF"/>
        </w:rPr>
      </w:pPr>
      <w:r w:rsidRPr="00C9277E">
        <w:rPr>
          <w:rFonts w:cs="Arial"/>
          <w:b/>
          <w:color w:val="000000" w:themeColor="text1"/>
          <w:shd w:val="clear" w:color="auto" w:fill="FFFFFF"/>
        </w:rPr>
        <w:t>Ektopična, izvanmaterična trudnoća</w:t>
      </w:r>
      <w:r>
        <w:rPr>
          <w:rFonts w:cs="Arial"/>
          <w:color w:val="000000" w:themeColor="text1"/>
          <w:shd w:val="clear" w:color="auto" w:fill="FFFFFF"/>
        </w:rPr>
        <w:t xml:space="preserve"> je moguća i kod IVF-a, a učestalost je ista kao i u prirodi. Trudnoća</w:t>
      </w:r>
      <w:r w:rsidR="00C9277E">
        <w:rPr>
          <w:rFonts w:cs="Arial"/>
          <w:color w:val="000000" w:themeColor="text1"/>
          <w:shd w:val="clear" w:color="auto" w:fill="FFFFFF"/>
        </w:rPr>
        <w:t xml:space="preserve"> je najčešće u jajovodu oštećenom upalom. Neki tubarnu trudnoću povezuju s suboptimalnim ET-om. Rizik za </w:t>
      </w:r>
      <w:r w:rsidR="00C9277E">
        <w:rPr>
          <w:rFonts w:cs="Arial"/>
          <w:color w:val="000000" w:themeColor="text1"/>
          <w:shd w:val="clear" w:color="auto" w:fill="FFFFFF"/>
        </w:rPr>
        <w:lastRenderedPageBreak/>
        <w:t>ektopičnu trudnoću je 1-1,5%. Simptomi i znakovi jesu: vaginalno krvarenje, bol, probadanje, osjetljiv cerviks, a ruptura tube dovodi do krvarenja u trbuh, hemor</w:t>
      </w:r>
      <w:r w:rsidR="006D3E62">
        <w:rPr>
          <w:rFonts w:cs="Arial"/>
          <w:color w:val="000000" w:themeColor="text1"/>
          <w:shd w:val="clear" w:color="auto" w:fill="FFFFFF"/>
        </w:rPr>
        <w:t>a</w:t>
      </w:r>
      <w:r w:rsidR="00C9277E">
        <w:rPr>
          <w:rFonts w:cs="Arial"/>
          <w:color w:val="000000" w:themeColor="text1"/>
          <w:shd w:val="clear" w:color="auto" w:fill="FFFFFF"/>
        </w:rPr>
        <w:t>škog šoka. HCG i progesteron su niži, a UZV ne nalazi trudnoću u uterusu.</w:t>
      </w:r>
    </w:p>
    <w:p w14:paraId="5F82727C" w14:textId="0D9D0815" w:rsidR="00202406" w:rsidRDefault="00202406" w:rsidP="008A0F5C">
      <w:pPr>
        <w:spacing w:before="120" w:after="0" w:line="276" w:lineRule="auto"/>
        <w:ind w:left="720" w:firstLine="720"/>
        <w:rPr>
          <w:rFonts w:cs="Arial"/>
          <w:color w:val="000000" w:themeColor="text1"/>
          <w:shd w:val="clear" w:color="auto" w:fill="FFFFFF"/>
        </w:rPr>
      </w:pPr>
      <w:r>
        <w:rPr>
          <w:rFonts w:cs="Arial"/>
          <w:b/>
          <w:color w:val="000000" w:themeColor="text1"/>
          <w:shd w:val="clear" w:color="auto" w:fill="FFFFFF"/>
        </w:rPr>
        <w:t>Perinatalni rizici</w:t>
      </w:r>
      <w:r>
        <w:rPr>
          <w:rFonts w:cs="Arial"/>
          <w:color w:val="000000" w:themeColor="text1"/>
          <w:shd w:val="clear" w:color="auto" w:fill="FFFFFF"/>
        </w:rPr>
        <w:t xml:space="preserve"> mogu biti povezani s osobinama liječene populacije IVF-om. Kako prevladavaju starije žene s komorbitetom, njihovi zdravstveni rizici se odrazuju i manifestiraju u trudnoći. To jesu: debljina, IR, PCOS, dijabetes, autoimune bolesti, hipotireoza, KVB i trombofilije, stanja nakon operacija i drugo. Ne smijemo zaboraviti da fertilitetni lijekovi i OHSS samostalno povisuju, a trudnoća dodatno povisuje rizik za tromboze. U IVF trudnoćama češći su:</w:t>
      </w:r>
    </w:p>
    <w:p w14:paraId="2A6EE27A" w14:textId="77777777" w:rsidR="00202406" w:rsidRDefault="00001336" w:rsidP="008A0F5C">
      <w:pPr>
        <w:pStyle w:val="ListParagraph"/>
        <w:numPr>
          <w:ilvl w:val="2"/>
          <w:numId w:val="9"/>
        </w:numPr>
        <w:spacing w:before="120" w:after="0" w:line="276" w:lineRule="auto"/>
        <w:rPr>
          <w:color w:val="000000" w:themeColor="text1"/>
        </w:rPr>
      </w:pPr>
      <w:r w:rsidRPr="00001336">
        <w:rPr>
          <w:color w:val="000000" w:themeColor="text1"/>
        </w:rPr>
        <w:t>hipertenzija</w:t>
      </w:r>
      <w:r>
        <w:rPr>
          <w:color w:val="000000" w:themeColor="text1"/>
        </w:rPr>
        <w:t xml:space="preserve"> i preeclampsija</w:t>
      </w:r>
    </w:p>
    <w:p w14:paraId="7AF33D94" w14:textId="77777777" w:rsidR="00001336" w:rsidRDefault="00001336" w:rsidP="008A0F5C">
      <w:pPr>
        <w:pStyle w:val="ListParagraph"/>
        <w:numPr>
          <w:ilvl w:val="2"/>
          <w:numId w:val="9"/>
        </w:numPr>
        <w:spacing w:before="120" w:after="0" w:line="276" w:lineRule="auto"/>
        <w:rPr>
          <w:color w:val="000000" w:themeColor="text1"/>
        </w:rPr>
      </w:pPr>
      <w:r>
        <w:rPr>
          <w:color w:val="000000" w:themeColor="text1"/>
        </w:rPr>
        <w:t>dijabetes</w:t>
      </w:r>
    </w:p>
    <w:p w14:paraId="608E601C" w14:textId="77777777" w:rsidR="00001336" w:rsidRDefault="00001336" w:rsidP="008A0F5C">
      <w:pPr>
        <w:pStyle w:val="ListParagraph"/>
        <w:numPr>
          <w:ilvl w:val="2"/>
          <w:numId w:val="9"/>
        </w:numPr>
        <w:spacing w:before="120" w:after="0" w:line="276" w:lineRule="auto"/>
        <w:rPr>
          <w:color w:val="000000" w:themeColor="text1"/>
        </w:rPr>
      </w:pPr>
      <w:r>
        <w:rPr>
          <w:color w:val="000000" w:themeColor="text1"/>
        </w:rPr>
        <w:t>zastoj rasta fetusa- niža težina</w:t>
      </w:r>
    </w:p>
    <w:p w14:paraId="5109EA10" w14:textId="77777777" w:rsidR="00001336" w:rsidRDefault="00001336" w:rsidP="008A0F5C">
      <w:pPr>
        <w:pStyle w:val="ListParagraph"/>
        <w:numPr>
          <w:ilvl w:val="2"/>
          <w:numId w:val="9"/>
        </w:numPr>
        <w:spacing w:before="120" w:after="0" w:line="276" w:lineRule="auto"/>
        <w:rPr>
          <w:color w:val="000000" w:themeColor="text1"/>
        </w:rPr>
      </w:pPr>
      <w:r>
        <w:rPr>
          <w:color w:val="000000" w:themeColor="text1"/>
        </w:rPr>
        <w:t>krvarenja</w:t>
      </w:r>
    </w:p>
    <w:p w14:paraId="04654421" w14:textId="77777777" w:rsidR="00001336" w:rsidRDefault="00001336" w:rsidP="008A0F5C">
      <w:pPr>
        <w:pStyle w:val="ListParagraph"/>
        <w:numPr>
          <w:ilvl w:val="2"/>
          <w:numId w:val="9"/>
        </w:numPr>
        <w:spacing w:before="120" w:after="0" w:line="276" w:lineRule="auto"/>
        <w:rPr>
          <w:color w:val="000000" w:themeColor="text1"/>
        </w:rPr>
      </w:pPr>
      <w:r>
        <w:rPr>
          <w:color w:val="000000" w:themeColor="text1"/>
        </w:rPr>
        <w:t>patologija posteljice</w:t>
      </w:r>
    </w:p>
    <w:p w14:paraId="3BF35113" w14:textId="77777777" w:rsidR="00001336" w:rsidRDefault="00001336" w:rsidP="008A0F5C">
      <w:pPr>
        <w:pStyle w:val="ListParagraph"/>
        <w:numPr>
          <w:ilvl w:val="2"/>
          <w:numId w:val="9"/>
        </w:numPr>
        <w:spacing w:before="120" w:after="0" w:line="276" w:lineRule="auto"/>
        <w:rPr>
          <w:color w:val="000000" w:themeColor="text1"/>
        </w:rPr>
      </w:pPr>
      <w:r>
        <w:rPr>
          <w:color w:val="000000" w:themeColor="text1"/>
        </w:rPr>
        <w:t>porođaj carkim rezom.</w:t>
      </w:r>
    </w:p>
    <w:p w14:paraId="007A0A64" w14:textId="77777777" w:rsidR="00001336" w:rsidRDefault="00001336" w:rsidP="008A0F5C">
      <w:pPr>
        <w:spacing w:before="120" w:after="0" w:line="276" w:lineRule="auto"/>
        <w:ind w:left="720" w:firstLine="720"/>
        <w:rPr>
          <w:color w:val="000000" w:themeColor="text1"/>
        </w:rPr>
      </w:pPr>
      <w:r w:rsidRPr="00C03A0D">
        <w:rPr>
          <w:b/>
          <w:color w:val="000000" w:themeColor="text1"/>
        </w:rPr>
        <w:t>Višeplodne trudnoće</w:t>
      </w:r>
      <w:r>
        <w:rPr>
          <w:color w:val="000000" w:themeColor="text1"/>
        </w:rPr>
        <w:t xml:space="preserve"> su glavni rizik IVF trudnoća, nakon prijenosa (ET) više od 1 embrija. One su povezane s rizicima za majku i djecu:</w:t>
      </w:r>
    </w:p>
    <w:p w14:paraId="64ED528D" w14:textId="77777777" w:rsidR="00001336" w:rsidRDefault="00001336" w:rsidP="008A0F5C">
      <w:pPr>
        <w:pStyle w:val="ListParagraph"/>
        <w:numPr>
          <w:ilvl w:val="0"/>
          <w:numId w:val="10"/>
        </w:numPr>
        <w:spacing w:before="120" w:after="0" w:line="276" w:lineRule="auto"/>
        <w:ind w:firstLine="1123"/>
        <w:rPr>
          <w:color w:val="000000" w:themeColor="text1"/>
        </w:rPr>
      </w:pPr>
      <w:r>
        <w:rPr>
          <w:color w:val="000000" w:themeColor="text1"/>
        </w:rPr>
        <w:t>prijevremeni porođaj, disfunkcija placente</w:t>
      </w:r>
    </w:p>
    <w:p w14:paraId="7F84DC36" w14:textId="77777777" w:rsidR="00001336" w:rsidRDefault="00001336" w:rsidP="008A0F5C">
      <w:pPr>
        <w:pStyle w:val="ListParagraph"/>
        <w:numPr>
          <w:ilvl w:val="0"/>
          <w:numId w:val="10"/>
        </w:numPr>
        <w:spacing w:before="120" w:after="0" w:line="276" w:lineRule="auto"/>
        <w:ind w:firstLine="1123"/>
        <w:rPr>
          <w:color w:val="000000" w:themeColor="text1"/>
        </w:rPr>
      </w:pPr>
      <w:r>
        <w:rPr>
          <w:color w:val="000000" w:themeColor="text1"/>
        </w:rPr>
        <w:t>nedonešenost i neurorizičnost djece, niska težina</w:t>
      </w:r>
    </w:p>
    <w:p w14:paraId="27010BFD" w14:textId="77777777" w:rsidR="00001336" w:rsidRDefault="00001336" w:rsidP="008A0F5C">
      <w:pPr>
        <w:pStyle w:val="ListParagraph"/>
        <w:numPr>
          <w:ilvl w:val="0"/>
          <w:numId w:val="10"/>
        </w:numPr>
        <w:spacing w:before="120" w:after="0" w:line="276" w:lineRule="auto"/>
        <w:ind w:firstLine="1123"/>
        <w:rPr>
          <w:color w:val="000000" w:themeColor="text1"/>
        </w:rPr>
      </w:pPr>
      <w:r>
        <w:rPr>
          <w:color w:val="000000" w:themeColor="text1"/>
        </w:rPr>
        <w:t>krvarenja i preeclampsija</w:t>
      </w:r>
    </w:p>
    <w:p w14:paraId="6E35B2DD" w14:textId="77777777" w:rsidR="00001336" w:rsidRDefault="00001336" w:rsidP="008A0F5C">
      <w:pPr>
        <w:pStyle w:val="ListParagraph"/>
        <w:numPr>
          <w:ilvl w:val="0"/>
          <w:numId w:val="10"/>
        </w:numPr>
        <w:spacing w:before="120" w:after="0" w:line="276" w:lineRule="auto"/>
        <w:ind w:firstLine="1123"/>
        <w:rPr>
          <w:color w:val="000000" w:themeColor="text1"/>
        </w:rPr>
      </w:pPr>
      <w:r>
        <w:rPr>
          <w:color w:val="000000" w:themeColor="text1"/>
        </w:rPr>
        <w:t>carski rez.</w:t>
      </w:r>
    </w:p>
    <w:p w14:paraId="1D1BACD7" w14:textId="5F19D30D" w:rsidR="00001336" w:rsidRDefault="00001336" w:rsidP="008A0F5C">
      <w:pPr>
        <w:spacing w:before="120" w:after="0" w:line="276" w:lineRule="auto"/>
        <w:ind w:left="720" w:firstLine="720"/>
        <w:rPr>
          <w:color w:val="000000" w:themeColor="text1"/>
        </w:rPr>
      </w:pPr>
      <w:r>
        <w:rPr>
          <w:color w:val="000000" w:themeColor="text1"/>
        </w:rPr>
        <w:t xml:space="preserve">U prosjeku blizanci se porađaju s 35-36 tjedana (težina </w:t>
      </w:r>
      <w:r w:rsidR="00C03A0D" w:rsidRPr="00C03A0D">
        <w:rPr>
          <w:color w:val="000000" w:themeColor="text1"/>
        </w:rPr>
        <w:t>≈</w:t>
      </w:r>
      <w:r w:rsidR="00C03A0D">
        <w:rPr>
          <w:color w:val="000000" w:themeColor="text1"/>
        </w:rPr>
        <w:t xml:space="preserve"> 2300 grama), a trigemini s 32 tjedna (</w:t>
      </w:r>
      <w:r w:rsidR="00C03A0D" w:rsidRPr="00C03A0D">
        <w:rPr>
          <w:color w:val="000000" w:themeColor="text1"/>
        </w:rPr>
        <w:t>≈</w:t>
      </w:r>
      <w:r w:rsidR="00C03A0D">
        <w:rPr>
          <w:color w:val="000000" w:themeColor="text1"/>
        </w:rPr>
        <w:t xml:space="preserve"> 1650 grama). Rjeđe postoji mogućnost monozigotnih blizanaca (identičnih</w:t>
      </w:r>
      <w:r w:rsidR="00462559">
        <w:rPr>
          <w:color w:val="000000" w:themeColor="text1"/>
        </w:rPr>
        <w:t>)</w:t>
      </w:r>
      <w:r w:rsidR="00C03A0D">
        <w:rPr>
          <w:color w:val="000000" w:themeColor="text1"/>
        </w:rPr>
        <w:t xml:space="preserve"> kada se 1 prenešeni zametak kasnije podijeli.</w:t>
      </w:r>
    </w:p>
    <w:p w14:paraId="49C284F4" w14:textId="77777777" w:rsidR="00C03A0D" w:rsidRDefault="00C03A0D" w:rsidP="008A0F5C">
      <w:pPr>
        <w:spacing w:before="120" w:after="0" w:line="276" w:lineRule="auto"/>
        <w:ind w:left="720" w:firstLine="720"/>
        <w:rPr>
          <w:color w:val="000000" w:themeColor="text1"/>
        </w:rPr>
      </w:pPr>
      <w:r>
        <w:rPr>
          <w:color w:val="000000" w:themeColor="text1"/>
        </w:rPr>
        <w:t>Od rizika za IVF djecu često se ističe da IVF, ili više ICSI blago povisuju vjerojatnost kongenitalnih abnormalnosti. One postoje i u općoj populaciji (2-3%), ali nikada nije dokazano da li je povišenje defekata zbog osobina neplodne populacije ili zbog IVF tehnologija.</w:t>
      </w:r>
    </w:p>
    <w:p w14:paraId="46735E1B" w14:textId="7C4794DB" w:rsidR="00C03A0D" w:rsidRPr="00001336" w:rsidRDefault="00C03A0D" w:rsidP="008A0F5C">
      <w:pPr>
        <w:spacing w:before="120" w:after="0" w:line="276" w:lineRule="auto"/>
        <w:ind w:left="720" w:firstLine="720"/>
        <w:rPr>
          <w:color w:val="000000" w:themeColor="text1"/>
        </w:rPr>
      </w:pPr>
      <w:r w:rsidRPr="00C03A0D">
        <w:rPr>
          <w:b/>
          <w:color w:val="000000" w:themeColor="text1"/>
        </w:rPr>
        <w:t>Covid-19 bolest</w:t>
      </w:r>
      <w:r>
        <w:rPr>
          <w:color w:val="000000" w:themeColor="text1"/>
        </w:rPr>
        <w:t xml:space="preserve"> je novi značajan rizičan čimbenik za IVF pacijente, a posebno za trudnice</w:t>
      </w:r>
      <w:r w:rsidR="0061081D">
        <w:rPr>
          <w:color w:val="000000" w:themeColor="text1"/>
        </w:rPr>
        <w:t>.</w:t>
      </w:r>
    </w:p>
    <w:sectPr w:rsidR="00C03A0D" w:rsidRPr="0000133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A9FCC" w14:textId="77777777" w:rsidR="00E05003" w:rsidRDefault="00E05003" w:rsidP="00C03A0D">
      <w:pPr>
        <w:spacing w:after="0" w:line="240" w:lineRule="auto"/>
      </w:pPr>
      <w:r>
        <w:separator/>
      </w:r>
    </w:p>
  </w:endnote>
  <w:endnote w:type="continuationSeparator" w:id="0">
    <w:p w14:paraId="6CD17CCF" w14:textId="77777777" w:rsidR="00E05003" w:rsidRDefault="00E05003" w:rsidP="00C03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-2675455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80DC35" w14:textId="77777777" w:rsidR="00C03A0D" w:rsidRDefault="00C03A0D">
        <w:pPr>
          <w:pStyle w:val="Foot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3</w:t>
        </w:r>
        <w:r>
          <w:fldChar w:fldCharType="end"/>
        </w:r>
      </w:p>
    </w:sdtContent>
  </w:sdt>
  <w:p w14:paraId="6E8CB8AA" w14:textId="77777777" w:rsidR="00C03A0D" w:rsidRDefault="00C03A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C964D" w14:textId="77777777" w:rsidR="00E05003" w:rsidRDefault="00E05003" w:rsidP="00C03A0D">
      <w:pPr>
        <w:spacing w:after="0" w:line="240" w:lineRule="auto"/>
      </w:pPr>
      <w:r>
        <w:separator/>
      </w:r>
    </w:p>
  </w:footnote>
  <w:footnote w:type="continuationSeparator" w:id="0">
    <w:p w14:paraId="5AC4BD56" w14:textId="77777777" w:rsidR="00E05003" w:rsidRDefault="00E05003" w:rsidP="00C03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B64DC"/>
    <w:multiLevelType w:val="hybridMultilevel"/>
    <w:tmpl w:val="1082CDCC"/>
    <w:lvl w:ilvl="0" w:tplc="D842E84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D842E842"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2" w:tplc="D842E842">
      <w:numFmt w:val="bullet"/>
      <w:lvlText w:val="-"/>
      <w:lvlJc w:val="left"/>
      <w:pPr>
        <w:ind w:left="2160" w:hanging="360"/>
      </w:pPr>
      <w:rPr>
        <w:rFonts w:ascii="Verdana" w:eastAsiaTheme="minorHAnsi" w:hAnsi="Verdana" w:cstheme="minorBidi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45782"/>
    <w:multiLevelType w:val="hybridMultilevel"/>
    <w:tmpl w:val="430687B8"/>
    <w:lvl w:ilvl="0" w:tplc="2166A5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D39E8"/>
    <w:multiLevelType w:val="hybridMultilevel"/>
    <w:tmpl w:val="B852CC72"/>
    <w:lvl w:ilvl="0" w:tplc="041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351C431D"/>
    <w:multiLevelType w:val="hybridMultilevel"/>
    <w:tmpl w:val="CF265ABC"/>
    <w:lvl w:ilvl="0" w:tplc="2166A5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45EB5"/>
    <w:multiLevelType w:val="hybridMultilevel"/>
    <w:tmpl w:val="BF9C6540"/>
    <w:lvl w:ilvl="0" w:tplc="85105D18">
      <w:start w:val="5"/>
      <w:numFmt w:val="decimal"/>
      <w:lvlText w:val="%1"/>
      <w:lvlJc w:val="left"/>
      <w:pPr>
        <w:ind w:left="61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840" w:hanging="360"/>
      </w:pPr>
    </w:lvl>
    <w:lvl w:ilvl="2" w:tplc="041A001B" w:tentative="1">
      <w:start w:val="1"/>
      <w:numFmt w:val="lowerRoman"/>
      <w:lvlText w:val="%3."/>
      <w:lvlJc w:val="right"/>
      <w:pPr>
        <w:ind w:left="7560" w:hanging="180"/>
      </w:pPr>
    </w:lvl>
    <w:lvl w:ilvl="3" w:tplc="041A000F" w:tentative="1">
      <w:start w:val="1"/>
      <w:numFmt w:val="decimal"/>
      <w:lvlText w:val="%4."/>
      <w:lvlJc w:val="left"/>
      <w:pPr>
        <w:ind w:left="8280" w:hanging="360"/>
      </w:pPr>
    </w:lvl>
    <w:lvl w:ilvl="4" w:tplc="041A0019" w:tentative="1">
      <w:start w:val="1"/>
      <w:numFmt w:val="lowerLetter"/>
      <w:lvlText w:val="%5."/>
      <w:lvlJc w:val="left"/>
      <w:pPr>
        <w:ind w:left="9000" w:hanging="360"/>
      </w:pPr>
    </w:lvl>
    <w:lvl w:ilvl="5" w:tplc="041A001B" w:tentative="1">
      <w:start w:val="1"/>
      <w:numFmt w:val="lowerRoman"/>
      <w:lvlText w:val="%6."/>
      <w:lvlJc w:val="right"/>
      <w:pPr>
        <w:ind w:left="9720" w:hanging="180"/>
      </w:pPr>
    </w:lvl>
    <w:lvl w:ilvl="6" w:tplc="041A000F" w:tentative="1">
      <w:start w:val="1"/>
      <w:numFmt w:val="decimal"/>
      <w:lvlText w:val="%7."/>
      <w:lvlJc w:val="left"/>
      <w:pPr>
        <w:ind w:left="10440" w:hanging="360"/>
      </w:pPr>
    </w:lvl>
    <w:lvl w:ilvl="7" w:tplc="041A0019" w:tentative="1">
      <w:start w:val="1"/>
      <w:numFmt w:val="lowerLetter"/>
      <w:lvlText w:val="%8."/>
      <w:lvlJc w:val="left"/>
      <w:pPr>
        <w:ind w:left="11160" w:hanging="360"/>
      </w:pPr>
    </w:lvl>
    <w:lvl w:ilvl="8" w:tplc="041A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5" w15:restartNumberingAfterBreak="0">
    <w:nsid w:val="4BB81E3C"/>
    <w:multiLevelType w:val="hybridMultilevel"/>
    <w:tmpl w:val="1794DA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1B2FCD"/>
    <w:multiLevelType w:val="hybridMultilevel"/>
    <w:tmpl w:val="F9E42D8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1E50DC"/>
    <w:multiLevelType w:val="hybridMultilevel"/>
    <w:tmpl w:val="AE2C66EE"/>
    <w:lvl w:ilvl="0" w:tplc="2166A5B6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86C55D7"/>
    <w:multiLevelType w:val="hybridMultilevel"/>
    <w:tmpl w:val="085275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072A44"/>
    <w:multiLevelType w:val="hybridMultilevel"/>
    <w:tmpl w:val="5EE0471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65029690">
    <w:abstractNumId w:val="0"/>
  </w:num>
  <w:num w:numId="2" w16cid:durableId="790176003">
    <w:abstractNumId w:val="6"/>
  </w:num>
  <w:num w:numId="3" w16cid:durableId="2138527565">
    <w:abstractNumId w:val="1"/>
  </w:num>
  <w:num w:numId="4" w16cid:durableId="1342243239">
    <w:abstractNumId w:val="9"/>
  </w:num>
  <w:num w:numId="5" w16cid:durableId="2017800402">
    <w:abstractNumId w:val="2"/>
  </w:num>
  <w:num w:numId="6" w16cid:durableId="1429884275">
    <w:abstractNumId w:val="7"/>
  </w:num>
  <w:num w:numId="7" w16cid:durableId="1834569886">
    <w:abstractNumId w:val="3"/>
  </w:num>
  <w:num w:numId="8" w16cid:durableId="1872375530">
    <w:abstractNumId w:val="4"/>
  </w:num>
  <w:num w:numId="9" w16cid:durableId="1004816876">
    <w:abstractNumId w:val="8"/>
  </w:num>
  <w:num w:numId="10" w16cid:durableId="1995103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5C8"/>
    <w:rsid w:val="00001336"/>
    <w:rsid w:val="00024E3B"/>
    <w:rsid w:val="00065E21"/>
    <w:rsid w:val="001056FF"/>
    <w:rsid w:val="00145510"/>
    <w:rsid w:val="001C120A"/>
    <w:rsid w:val="00202406"/>
    <w:rsid w:val="003B0959"/>
    <w:rsid w:val="003B2E9F"/>
    <w:rsid w:val="003C4743"/>
    <w:rsid w:val="004357F5"/>
    <w:rsid w:val="00452460"/>
    <w:rsid w:val="00462559"/>
    <w:rsid w:val="004B7E33"/>
    <w:rsid w:val="005527E4"/>
    <w:rsid w:val="00585D13"/>
    <w:rsid w:val="005F4D03"/>
    <w:rsid w:val="0061081D"/>
    <w:rsid w:val="0067637B"/>
    <w:rsid w:val="006D3E62"/>
    <w:rsid w:val="007E0A0D"/>
    <w:rsid w:val="00807F30"/>
    <w:rsid w:val="008A0F5C"/>
    <w:rsid w:val="00967D1F"/>
    <w:rsid w:val="00A40C1A"/>
    <w:rsid w:val="00A550D8"/>
    <w:rsid w:val="00BF3D31"/>
    <w:rsid w:val="00C03A0D"/>
    <w:rsid w:val="00C15999"/>
    <w:rsid w:val="00C9277E"/>
    <w:rsid w:val="00CD2C0C"/>
    <w:rsid w:val="00E05003"/>
    <w:rsid w:val="00FD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5885EF"/>
  <w15:chartTrackingRefBased/>
  <w15:docId w15:val="{FD11BCA6-100D-4103-89E0-A8F297220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D03"/>
    <w:pPr>
      <w:jc w:val="both"/>
    </w:pPr>
    <w:rPr>
      <w:rFonts w:ascii="Verdana" w:hAnsi="Verdana"/>
      <w:noProof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D65C8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65C8"/>
    <w:rPr>
      <w:rFonts w:ascii="Verdana" w:eastAsiaTheme="majorEastAsia" w:hAnsi="Verdana" w:cstheme="majorBidi"/>
      <w:b/>
      <w:noProof/>
      <w:spacing w:val="-10"/>
      <w:kern w:val="28"/>
      <w:sz w:val="28"/>
      <w:szCs w:val="56"/>
      <w:lang w:val="hr-HR"/>
    </w:rPr>
  </w:style>
  <w:style w:type="paragraph" w:styleId="ListParagraph">
    <w:name w:val="List Paragraph"/>
    <w:basedOn w:val="Normal"/>
    <w:uiPriority w:val="34"/>
    <w:qFormat/>
    <w:rsid w:val="00FD65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3A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A0D"/>
    <w:rPr>
      <w:rFonts w:ascii="Verdana" w:hAnsi="Verdana"/>
      <w:noProof/>
      <w:lang w:val="hr-HR"/>
    </w:rPr>
  </w:style>
  <w:style w:type="paragraph" w:styleId="Footer">
    <w:name w:val="footer"/>
    <w:basedOn w:val="Normal"/>
    <w:link w:val="FooterChar"/>
    <w:uiPriority w:val="99"/>
    <w:unhideWhenUsed/>
    <w:rsid w:val="00C03A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A0D"/>
    <w:rPr>
      <w:rFonts w:ascii="Verdana" w:hAnsi="Verdana"/>
      <w:noProof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anita simunic</cp:lastModifiedBy>
  <cp:revision>4</cp:revision>
  <cp:lastPrinted>2021-12-22T06:49:00Z</cp:lastPrinted>
  <dcterms:created xsi:type="dcterms:W3CDTF">2022-01-14T08:13:00Z</dcterms:created>
  <dcterms:modified xsi:type="dcterms:W3CDTF">2023-03-25T17:14:00Z</dcterms:modified>
</cp:coreProperties>
</file>