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4AB7" w14:textId="41F2BE2F" w:rsidR="009A2478" w:rsidRDefault="009A2478" w:rsidP="009A2478">
      <w:pPr>
        <w:jc w:val="center"/>
        <w:rPr>
          <w:rFonts w:ascii="Verdana" w:hAnsi="Verdana"/>
          <w:b/>
          <w:bCs/>
          <w:sz w:val="22"/>
          <w:szCs w:val="22"/>
          <w:lang w:val="hr-HR"/>
        </w:rPr>
      </w:pPr>
      <w:r>
        <w:rPr>
          <w:rFonts w:ascii="Verdana" w:hAnsi="Verdana"/>
          <w:b/>
          <w:bCs/>
          <w:sz w:val="22"/>
          <w:szCs w:val="22"/>
          <w:lang w:val="hr-HR"/>
        </w:rPr>
        <w:t>Predimplantacijsko gensko testiranje</w:t>
      </w:r>
    </w:p>
    <w:p w14:paraId="1876E66C" w14:textId="24726C71" w:rsidR="009A2478" w:rsidRDefault="009A2478" w:rsidP="009A2478">
      <w:pPr>
        <w:jc w:val="center"/>
        <w:rPr>
          <w:rFonts w:ascii="Verdana" w:hAnsi="Verdana"/>
          <w:b/>
          <w:bCs/>
          <w:sz w:val="22"/>
          <w:szCs w:val="22"/>
          <w:lang w:val="hr-HR"/>
        </w:rPr>
      </w:pPr>
    </w:p>
    <w:p w14:paraId="54B6EF29" w14:textId="46D9B6BD" w:rsidR="009A2478" w:rsidRDefault="009A2478" w:rsidP="009A2478">
      <w:pPr>
        <w:jc w:val="both"/>
        <w:rPr>
          <w:rFonts w:ascii="Verdana" w:hAnsi="Verdana"/>
          <w:sz w:val="22"/>
          <w:szCs w:val="22"/>
          <w:lang w:val="hr-HR"/>
        </w:rPr>
      </w:pPr>
      <w:r>
        <w:rPr>
          <w:rFonts w:ascii="Verdana" w:hAnsi="Verdana"/>
          <w:sz w:val="22"/>
          <w:szCs w:val="22"/>
          <w:lang w:val="hr-HR"/>
        </w:rPr>
        <w:t xml:space="preserve">Mlađe žene stvaraju 40% (40-60%) abnormalnih zametaka. Kromosomski poremećaji nastaju zbog pogrešaka mejotičkih dioba jajne stanice, ili zbog pogrešaka prvih mitoza u početnoj embriogenezi. Mejotičke pogreške rastu s starenjem žene, te je poslije 42. više od 80% oocita abnormalno. Učestalost pogrešaka mitoza (1-5 dana nakon oplodnje) neovisna je o dobi žene. Obiteljski rizici i vertikalni prijenos monogenskih poremećaja također je jedna od indikacija za testiranje. Monogenske bolesti (oko 6000 obiteljski nasljednih bolesti) su poremećaji 1 gena (npr. anemija srpastih stanica, cistična fibroza, Hantingtonova bolest, Duchenne mišićna distrofija, Friedrich ataksija, Hemofilija, Rett sindrome, spinalna mišićna distrofija i dr. ). te bolesti mogu biti autosomalne dominantne i </w:t>
      </w:r>
      <w:r w:rsidR="009640AD">
        <w:rPr>
          <w:rFonts w:ascii="Verdana" w:hAnsi="Verdana"/>
          <w:sz w:val="22"/>
          <w:szCs w:val="22"/>
          <w:lang w:val="hr-HR"/>
        </w:rPr>
        <w:t>recesivne</w:t>
      </w:r>
      <w:r>
        <w:rPr>
          <w:rFonts w:ascii="Verdana" w:hAnsi="Verdana"/>
          <w:sz w:val="22"/>
          <w:szCs w:val="22"/>
          <w:lang w:val="hr-HR"/>
        </w:rPr>
        <w:t xml:space="preserve"> (vezane na x-kromosom), o čemu ovisi stopa nasljednosti. Možer se otkriti više od 600 takvih nasljednosti.</w:t>
      </w:r>
    </w:p>
    <w:p w14:paraId="49B1AF48" w14:textId="409E2CB1" w:rsidR="009A2478" w:rsidRDefault="009A2478" w:rsidP="009A2478">
      <w:pPr>
        <w:jc w:val="both"/>
        <w:rPr>
          <w:rFonts w:ascii="Verdana" w:hAnsi="Verdana"/>
          <w:sz w:val="22"/>
          <w:szCs w:val="22"/>
          <w:lang w:val="hr-HR"/>
        </w:rPr>
      </w:pPr>
    </w:p>
    <w:p w14:paraId="0F25680F" w14:textId="689DD961" w:rsidR="009A2478" w:rsidRDefault="00F41A4C" w:rsidP="009A2478">
      <w:pPr>
        <w:jc w:val="both"/>
        <w:rPr>
          <w:rFonts w:ascii="Verdana" w:hAnsi="Verdana"/>
          <w:b/>
          <w:bCs/>
          <w:sz w:val="22"/>
          <w:szCs w:val="22"/>
          <w:lang w:val="hr-HR"/>
        </w:rPr>
      </w:pPr>
      <w:r>
        <w:rPr>
          <w:rFonts w:ascii="Verdana" w:hAnsi="Verdana"/>
          <w:b/>
          <w:bCs/>
          <w:sz w:val="22"/>
          <w:szCs w:val="22"/>
          <w:lang w:val="hr-HR"/>
        </w:rPr>
        <w:t>Predimplantacijsko gen</w:t>
      </w:r>
      <w:r w:rsidR="009640AD">
        <w:rPr>
          <w:rFonts w:ascii="Verdana" w:hAnsi="Verdana"/>
          <w:b/>
          <w:bCs/>
          <w:sz w:val="22"/>
          <w:szCs w:val="22"/>
          <w:lang w:val="hr-HR"/>
        </w:rPr>
        <w:t>et</w:t>
      </w:r>
      <w:r>
        <w:rPr>
          <w:rFonts w:ascii="Verdana" w:hAnsi="Verdana"/>
          <w:b/>
          <w:bCs/>
          <w:sz w:val="22"/>
          <w:szCs w:val="22"/>
          <w:lang w:val="hr-HR"/>
        </w:rPr>
        <w:t>sko testiranje (PGT) može se obaviti na:</w:t>
      </w:r>
    </w:p>
    <w:p w14:paraId="107B181C" w14:textId="5D58AFA1" w:rsidR="00F41A4C" w:rsidRDefault="00F41A4C" w:rsidP="009A2478">
      <w:pPr>
        <w:jc w:val="both"/>
        <w:rPr>
          <w:rFonts w:ascii="Verdana" w:hAnsi="Verdana"/>
          <w:b/>
          <w:bCs/>
          <w:sz w:val="22"/>
          <w:szCs w:val="22"/>
          <w:lang w:val="hr-HR"/>
        </w:rPr>
      </w:pPr>
    </w:p>
    <w:p w14:paraId="2E569BF1" w14:textId="13C5166A" w:rsidR="00F41A4C" w:rsidRDefault="00F41A4C" w:rsidP="00F41A4C">
      <w:pPr>
        <w:pStyle w:val="ListParagraph"/>
        <w:numPr>
          <w:ilvl w:val="0"/>
          <w:numId w:val="1"/>
        </w:numPr>
        <w:jc w:val="both"/>
        <w:rPr>
          <w:rFonts w:ascii="Verdana" w:hAnsi="Verdana"/>
          <w:sz w:val="22"/>
          <w:szCs w:val="22"/>
          <w:lang w:val="hr-HR"/>
        </w:rPr>
      </w:pPr>
      <w:r>
        <w:rPr>
          <w:rFonts w:ascii="Verdana" w:hAnsi="Verdana"/>
          <w:sz w:val="22"/>
          <w:szCs w:val="22"/>
          <w:lang w:val="hr-HR"/>
        </w:rPr>
        <w:t>oociti (polarno tijelo)</w:t>
      </w:r>
    </w:p>
    <w:p w14:paraId="0AF99C87" w14:textId="48105F07" w:rsidR="00F41A4C" w:rsidRDefault="00F41A4C" w:rsidP="00F41A4C">
      <w:pPr>
        <w:pStyle w:val="ListParagraph"/>
        <w:numPr>
          <w:ilvl w:val="0"/>
          <w:numId w:val="1"/>
        </w:numPr>
        <w:jc w:val="both"/>
        <w:rPr>
          <w:rFonts w:ascii="Verdana" w:hAnsi="Verdana"/>
          <w:sz w:val="22"/>
          <w:szCs w:val="22"/>
          <w:lang w:val="hr-HR"/>
        </w:rPr>
      </w:pPr>
      <w:r>
        <w:rPr>
          <w:rFonts w:ascii="Verdana" w:hAnsi="Verdana"/>
          <w:sz w:val="22"/>
          <w:szCs w:val="22"/>
          <w:lang w:val="hr-HR"/>
        </w:rPr>
        <w:t>D3 – embrio 3. dan razvoja (cleavage) – 1 blastomera</w:t>
      </w:r>
    </w:p>
    <w:p w14:paraId="371A5899" w14:textId="28080AA0" w:rsidR="00F41A4C" w:rsidRDefault="00F41A4C" w:rsidP="00F41A4C">
      <w:pPr>
        <w:pStyle w:val="ListParagraph"/>
        <w:numPr>
          <w:ilvl w:val="0"/>
          <w:numId w:val="1"/>
        </w:numPr>
        <w:jc w:val="both"/>
        <w:rPr>
          <w:rFonts w:ascii="Verdana" w:hAnsi="Verdana"/>
          <w:sz w:val="22"/>
          <w:szCs w:val="22"/>
          <w:lang w:val="hr-HR"/>
        </w:rPr>
      </w:pPr>
      <w:r>
        <w:rPr>
          <w:rFonts w:ascii="Verdana" w:hAnsi="Verdana"/>
          <w:sz w:val="22"/>
          <w:szCs w:val="22"/>
          <w:lang w:val="hr-HR"/>
        </w:rPr>
        <w:t>D5 – blastocista ( analiza 6-10 stanica trofoektoderma)</w:t>
      </w:r>
    </w:p>
    <w:p w14:paraId="578C6D32" w14:textId="6FF4FF85" w:rsidR="00F41A4C" w:rsidRDefault="00F41A4C" w:rsidP="00F41A4C">
      <w:pPr>
        <w:pStyle w:val="ListParagraph"/>
        <w:numPr>
          <w:ilvl w:val="0"/>
          <w:numId w:val="2"/>
        </w:numPr>
        <w:jc w:val="both"/>
        <w:rPr>
          <w:rFonts w:ascii="Verdana" w:hAnsi="Verdana"/>
          <w:sz w:val="22"/>
          <w:szCs w:val="22"/>
          <w:lang w:val="hr-HR"/>
        </w:rPr>
      </w:pPr>
      <w:r>
        <w:rPr>
          <w:rFonts w:ascii="Verdana" w:hAnsi="Verdana"/>
          <w:sz w:val="22"/>
          <w:szCs w:val="22"/>
          <w:lang w:val="hr-HR"/>
        </w:rPr>
        <w:t>TE, ili rijetko embrionalna stanica – ICM).</w:t>
      </w:r>
    </w:p>
    <w:p w14:paraId="24FB7F50" w14:textId="7006E8B3" w:rsidR="00F41A4C" w:rsidRDefault="00F41A4C" w:rsidP="00F41A4C">
      <w:pPr>
        <w:jc w:val="both"/>
        <w:rPr>
          <w:rFonts w:ascii="Verdana" w:hAnsi="Verdana"/>
          <w:sz w:val="22"/>
          <w:szCs w:val="22"/>
          <w:lang w:val="hr-HR"/>
        </w:rPr>
      </w:pPr>
    </w:p>
    <w:p w14:paraId="541A0400" w14:textId="5989C520" w:rsidR="00F41A4C" w:rsidRDefault="00F41A4C" w:rsidP="00F41A4C">
      <w:pPr>
        <w:jc w:val="both"/>
        <w:rPr>
          <w:rFonts w:ascii="Verdana" w:hAnsi="Verdana"/>
          <w:sz w:val="22"/>
          <w:szCs w:val="22"/>
          <w:lang w:val="hr-HR"/>
        </w:rPr>
      </w:pPr>
      <w:r>
        <w:rPr>
          <w:rFonts w:ascii="Verdana" w:hAnsi="Verdana"/>
          <w:sz w:val="22"/>
          <w:szCs w:val="22"/>
          <w:lang w:val="hr-HR"/>
        </w:rPr>
        <w:t>Užu dijagnostičku mogućnost ima FISH metoda, dok su današnje metode (CGH, NGS) vrlo specifične i osjetljive u analizi svih kromosoma (22+ x i y).</w:t>
      </w:r>
    </w:p>
    <w:p w14:paraId="155C33FF" w14:textId="0D43692C" w:rsidR="00F41A4C" w:rsidRDefault="00F41A4C" w:rsidP="00F41A4C">
      <w:pPr>
        <w:jc w:val="both"/>
        <w:rPr>
          <w:rFonts w:ascii="Verdana" w:hAnsi="Verdana"/>
          <w:sz w:val="22"/>
          <w:szCs w:val="22"/>
          <w:lang w:val="hr-HR"/>
        </w:rPr>
      </w:pPr>
    </w:p>
    <w:p w14:paraId="6E2684EA" w14:textId="7F01F952" w:rsidR="00F41A4C" w:rsidRDefault="00F41A4C" w:rsidP="00F41A4C">
      <w:pPr>
        <w:jc w:val="both"/>
        <w:rPr>
          <w:rFonts w:ascii="Verdana" w:hAnsi="Verdana"/>
          <w:sz w:val="22"/>
          <w:szCs w:val="22"/>
          <w:lang w:val="hr-HR"/>
        </w:rPr>
      </w:pPr>
      <w:r>
        <w:rPr>
          <w:rFonts w:ascii="Verdana" w:hAnsi="Verdana"/>
          <w:sz w:val="22"/>
          <w:szCs w:val="22"/>
          <w:lang w:val="hr-HR"/>
        </w:rPr>
        <w:t>Temeljno se koriste genetske pretrage koje bi trebale utvrditi euploidnost (normalnost) embrija prije ET, prije potencijalne implantacije. Napredna dijagnostika znatno je proširila naše mogućnosti, ali je ostvarila dileme za koje nemamo konsenzus.</w:t>
      </w:r>
    </w:p>
    <w:p w14:paraId="09C6C2D1" w14:textId="292C8180" w:rsidR="00F41A4C" w:rsidRDefault="00F41A4C" w:rsidP="00F41A4C">
      <w:pPr>
        <w:jc w:val="both"/>
        <w:rPr>
          <w:rFonts w:ascii="Verdana" w:hAnsi="Verdana"/>
          <w:sz w:val="22"/>
          <w:szCs w:val="22"/>
          <w:lang w:val="hr-HR"/>
        </w:rPr>
      </w:pPr>
    </w:p>
    <w:p w14:paraId="2B70E078" w14:textId="0B3AAE02" w:rsidR="00F41A4C" w:rsidRDefault="00F41A4C" w:rsidP="00F41A4C">
      <w:pPr>
        <w:jc w:val="both"/>
        <w:rPr>
          <w:rFonts w:ascii="Verdana" w:hAnsi="Verdana"/>
          <w:sz w:val="22"/>
          <w:szCs w:val="22"/>
          <w:lang w:val="hr-HR"/>
        </w:rPr>
      </w:pPr>
      <w:r>
        <w:rPr>
          <w:rFonts w:ascii="Verdana" w:hAnsi="Verdana"/>
          <w:sz w:val="22"/>
          <w:szCs w:val="22"/>
          <w:lang w:val="hr-HR"/>
        </w:rPr>
        <w:t>Postoje 3 dijagnostičke mogućnosti koje su u uporabi:</w:t>
      </w:r>
    </w:p>
    <w:p w14:paraId="65324915" w14:textId="552A99F9" w:rsidR="00F41A4C" w:rsidRDefault="00F41A4C" w:rsidP="00F41A4C">
      <w:pPr>
        <w:jc w:val="both"/>
        <w:rPr>
          <w:rFonts w:ascii="Verdana" w:hAnsi="Verdana"/>
          <w:sz w:val="22"/>
          <w:szCs w:val="22"/>
          <w:lang w:val="hr-HR"/>
        </w:rPr>
      </w:pPr>
    </w:p>
    <w:p w14:paraId="5E61BC26" w14:textId="61F4BD01" w:rsidR="00F41A4C" w:rsidRPr="00400E16" w:rsidRDefault="00F41A4C" w:rsidP="00F41A4C">
      <w:pPr>
        <w:pStyle w:val="ListParagraph"/>
        <w:numPr>
          <w:ilvl w:val="0"/>
          <w:numId w:val="2"/>
        </w:numPr>
        <w:jc w:val="both"/>
        <w:rPr>
          <w:rFonts w:ascii="Verdana" w:hAnsi="Verdana"/>
          <w:b/>
          <w:bCs/>
          <w:sz w:val="22"/>
          <w:szCs w:val="22"/>
          <w:lang w:val="hr-HR"/>
        </w:rPr>
      </w:pPr>
      <w:r>
        <w:rPr>
          <w:rFonts w:ascii="Verdana" w:hAnsi="Verdana"/>
          <w:sz w:val="22"/>
          <w:szCs w:val="22"/>
          <w:lang w:val="hr-HR"/>
        </w:rPr>
        <w:t xml:space="preserve">Predimplantacijsko gensko testiranje za aneuploidije </w:t>
      </w:r>
      <w:r w:rsidRPr="00F41A4C">
        <w:rPr>
          <w:rFonts w:ascii="Verdana" w:hAnsi="Verdana"/>
          <w:b/>
          <w:bCs/>
          <w:sz w:val="22"/>
          <w:szCs w:val="22"/>
          <w:lang w:val="hr-HR"/>
        </w:rPr>
        <w:t xml:space="preserve">(PGT-A) </w:t>
      </w:r>
      <w:r>
        <w:rPr>
          <w:rFonts w:ascii="Verdana" w:hAnsi="Verdana"/>
          <w:sz w:val="22"/>
          <w:szCs w:val="22"/>
          <w:lang w:val="hr-HR"/>
        </w:rPr>
        <w:t>je glavna pretraga za analizu abnormalnosti</w:t>
      </w:r>
      <w:r w:rsidR="00400E16">
        <w:rPr>
          <w:rFonts w:ascii="Verdana" w:hAnsi="Verdana"/>
          <w:sz w:val="22"/>
          <w:szCs w:val="22"/>
          <w:lang w:val="hr-HR"/>
        </w:rPr>
        <w:t xml:space="preserve"> cijelog kromosoma (numeričke pogreške svih 24 kromososma). To su trisomije i monosomije</w:t>
      </w:r>
    </w:p>
    <w:p w14:paraId="0503B6B2" w14:textId="3DEE1137" w:rsidR="00400E16" w:rsidRPr="00400E16" w:rsidRDefault="00400E16" w:rsidP="00F41A4C">
      <w:pPr>
        <w:pStyle w:val="ListParagraph"/>
        <w:numPr>
          <w:ilvl w:val="0"/>
          <w:numId w:val="2"/>
        </w:numPr>
        <w:jc w:val="both"/>
        <w:rPr>
          <w:rFonts w:ascii="Verdana" w:hAnsi="Verdana"/>
          <w:b/>
          <w:bCs/>
          <w:sz w:val="22"/>
          <w:szCs w:val="22"/>
          <w:lang w:val="hr-HR"/>
        </w:rPr>
      </w:pPr>
      <w:r w:rsidRPr="00400E16">
        <w:rPr>
          <w:rFonts w:ascii="Verdana" w:hAnsi="Verdana"/>
          <w:b/>
          <w:bCs/>
          <w:sz w:val="22"/>
          <w:szCs w:val="22"/>
          <w:lang w:val="hr-HR"/>
        </w:rPr>
        <w:t>PGT-SR</w:t>
      </w:r>
      <w:r>
        <w:rPr>
          <w:rFonts w:ascii="Verdana" w:hAnsi="Verdana"/>
          <w:b/>
          <w:bCs/>
          <w:sz w:val="22"/>
          <w:szCs w:val="22"/>
          <w:lang w:val="hr-HR"/>
        </w:rPr>
        <w:t xml:space="preserve"> </w:t>
      </w:r>
      <w:r>
        <w:rPr>
          <w:rFonts w:ascii="Verdana" w:hAnsi="Verdana"/>
          <w:sz w:val="22"/>
          <w:szCs w:val="22"/>
          <w:lang w:val="hr-HR"/>
        </w:rPr>
        <w:t>je metoda otkrivanja strukturnih abnormalnosti kromosoma (npr. translokacije, inverzije, delecije). najčešće uključena u PGT-A.</w:t>
      </w:r>
    </w:p>
    <w:p w14:paraId="711736CE" w14:textId="1A3119A1" w:rsidR="00400E16" w:rsidRPr="00400E16" w:rsidRDefault="00400E16" w:rsidP="00F41A4C">
      <w:pPr>
        <w:pStyle w:val="ListParagraph"/>
        <w:numPr>
          <w:ilvl w:val="0"/>
          <w:numId w:val="2"/>
        </w:numPr>
        <w:jc w:val="both"/>
        <w:rPr>
          <w:rFonts w:ascii="Verdana" w:hAnsi="Verdana"/>
          <w:b/>
          <w:bCs/>
          <w:sz w:val="22"/>
          <w:szCs w:val="22"/>
          <w:lang w:val="hr-HR"/>
        </w:rPr>
      </w:pPr>
      <w:r>
        <w:rPr>
          <w:rFonts w:ascii="Verdana" w:hAnsi="Verdana"/>
          <w:b/>
          <w:bCs/>
          <w:sz w:val="22"/>
          <w:szCs w:val="22"/>
          <w:lang w:val="hr-HR"/>
        </w:rPr>
        <w:t xml:space="preserve">PGT-M </w:t>
      </w:r>
      <w:r>
        <w:rPr>
          <w:rFonts w:ascii="Verdana" w:hAnsi="Verdana"/>
          <w:sz w:val="22"/>
          <w:szCs w:val="22"/>
          <w:lang w:val="hr-HR"/>
        </w:rPr>
        <w:t>je testiranje monogenskih bolesti u ranom embriju (stadij blastociste). Ovo testiranje se može proširiti na HLA kompatibilnost, sindrome heredit</w:t>
      </w:r>
      <w:r w:rsidR="009640AD">
        <w:rPr>
          <w:rFonts w:ascii="Verdana" w:hAnsi="Verdana"/>
          <w:sz w:val="22"/>
          <w:szCs w:val="22"/>
          <w:lang w:val="hr-HR"/>
        </w:rPr>
        <w:t>a</w:t>
      </w:r>
      <w:r>
        <w:rPr>
          <w:rFonts w:ascii="Verdana" w:hAnsi="Verdana"/>
          <w:sz w:val="22"/>
          <w:szCs w:val="22"/>
          <w:lang w:val="hr-HR"/>
        </w:rPr>
        <w:t>rnog raka. Za neke nalaze savjetuje se kasnija provjera u trudnoći (CVS i amni</w:t>
      </w:r>
      <w:r w:rsidR="009640AD">
        <w:rPr>
          <w:rFonts w:ascii="Verdana" w:hAnsi="Verdana"/>
          <w:sz w:val="22"/>
          <w:szCs w:val="22"/>
          <w:lang w:val="hr-HR"/>
        </w:rPr>
        <w:t>o</w:t>
      </w:r>
      <w:r>
        <w:rPr>
          <w:rFonts w:ascii="Verdana" w:hAnsi="Verdana"/>
          <w:sz w:val="22"/>
          <w:szCs w:val="22"/>
          <w:lang w:val="hr-HR"/>
        </w:rPr>
        <w:t>centeza).</w:t>
      </w:r>
    </w:p>
    <w:p w14:paraId="7FB9DDF2" w14:textId="2DD916AA" w:rsidR="00400E16" w:rsidRPr="00400E16" w:rsidRDefault="00400E16" w:rsidP="00400E16">
      <w:pPr>
        <w:jc w:val="both"/>
        <w:rPr>
          <w:rFonts w:ascii="Verdana" w:hAnsi="Verdana"/>
          <w:sz w:val="22"/>
          <w:szCs w:val="22"/>
          <w:lang w:val="hr-HR"/>
        </w:rPr>
      </w:pPr>
      <w:r>
        <w:rPr>
          <w:rFonts w:ascii="Verdana" w:hAnsi="Verdana"/>
          <w:sz w:val="22"/>
          <w:szCs w:val="22"/>
          <w:lang w:val="hr-HR"/>
        </w:rPr>
        <w:t>Usavršen</w:t>
      </w:r>
      <w:r w:rsidR="009640AD">
        <w:rPr>
          <w:rFonts w:ascii="Verdana" w:hAnsi="Verdana"/>
          <w:sz w:val="22"/>
          <w:szCs w:val="22"/>
          <w:lang w:val="hr-HR"/>
        </w:rPr>
        <w:t>e</w:t>
      </w:r>
      <w:r>
        <w:rPr>
          <w:rFonts w:ascii="Verdana" w:hAnsi="Verdana"/>
          <w:sz w:val="22"/>
          <w:szCs w:val="22"/>
          <w:lang w:val="hr-HR"/>
        </w:rPr>
        <w:t xml:space="preserve"> dijagnostičk</w:t>
      </w:r>
      <w:r w:rsidR="009640AD">
        <w:rPr>
          <w:rFonts w:ascii="Verdana" w:hAnsi="Verdana"/>
          <w:sz w:val="22"/>
          <w:szCs w:val="22"/>
          <w:lang w:val="hr-HR"/>
        </w:rPr>
        <w:t>e</w:t>
      </w:r>
      <w:r>
        <w:rPr>
          <w:rFonts w:ascii="Verdana" w:hAnsi="Verdana"/>
          <w:sz w:val="22"/>
          <w:szCs w:val="22"/>
          <w:lang w:val="hr-HR"/>
        </w:rPr>
        <w:t xml:space="preserve"> metod</w:t>
      </w:r>
      <w:r w:rsidR="009640AD">
        <w:rPr>
          <w:rFonts w:ascii="Verdana" w:hAnsi="Verdana"/>
          <w:sz w:val="22"/>
          <w:szCs w:val="22"/>
          <w:lang w:val="hr-HR"/>
        </w:rPr>
        <w:t>e</w:t>
      </w:r>
      <w:r>
        <w:rPr>
          <w:rFonts w:ascii="Verdana" w:hAnsi="Verdana"/>
          <w:sz w:val="22"/>
          <w:szCs w:val="22"/>
          <w:lang w:val="hr-HR"/>
        </w:rPr>
        <w:t xml:space="preserve"> (NGS) su toliko osjetljive da osim aneuploidije, dijagnosticiraju stupanj </w:t>
      </w:r>
      <w:r>
        <w:rPr>
          <w:rFonts w:ascii="Verdana" w:hAnsi="Verdana"/>
          <w:b/>
          <w:bCs/>
          <w:sz w:val="22"/>
          <w:szCs w:val="22"/>
          <w:lang w:val="hr-HR"/>
        </w:rPr>
        <w:t>mozaicizma</w:t>
      </w:r>
      <w:r w:rsidRPr="00400E16">
        <w:rPr>
          <w:rFonts w:ascii="Verdana" w:hAnsi="Verdana"/>
          <w:sz w:val="22"/>
          <w:szCs w:val="22"/>
          <w:lang w:val="hr-HR"/>
        </w:rPr>
        <w:t>, i abnormalnosti mitohondrija.</w:t>
      </w:r>
    </w:p>
    <w:p w14:paraId="03D908D4" w14:textId="68E96C5A" w:rsidR="00F41A4C" w:rsidRDefault="00F41A4C" w:rsidP="009A2478">
      <w:pPr>
        <w:jc w:val="both"/>
        <w:rPr>
          <w:rFonts w:ascii="Verdana" w:hAnsi="Verdana"/>
          <w:b/>
          <w:bCs/>
          <w:sz w:val="22"/>
          <w:szCs w:val="22"/>
          <w:lang w:val="hr-HR"/>
        </w:rPr>
      </w:pPr>
    </w:p>
    <w:p w14:paraId="5DEE9A8D" w14:textId="0D738776" w:rsidR="00400E16" w:rsidRDefault="00217FE8" w:rsidP="009A2478">
      <w:pPr>
        <w:jc w:val="both"/>
        <w:rPr>
          <w:rFonts w:ascii="Verdana" w:hAnsi="Verdana"/>
          <w:sz w:val="22"/>
          <w:szCs w:val="22"/>
          <w:lang w:val="hr-HR"/>
        </w:rPr>
      </w:pPr>
      <w:r w:rsidRPr="00217FE8">
        <w:rPr>
          <w:rFonts w:ascii="Verdana" w:hAnsi="Verdana"/>
          <w:sz w:val="22"/>
          <w:szCs w:val="22"/>
          <w:lang w:val="hr-HR"/>
        </w:rPr>
        <w:t>Mozaički embrio ima mješavinu normalnih i anuploidnih (abnormalnih</w:t>
      </w:r>
      <w:r>
        <w:rPr>
          <w:rFonts w:ascii="Verdana" w:hAnsi="Verdana"/>
          <w:sz w:val="22"/>
          <w:szCs w:val="22"/>
          <w:lang w:val="hr-HR"/>
        </w:rPr>
        <w:t>)</w:t>
      </w:r>
      <w:r w:rsidRPr="00217FE8">
        <w:rPr>
          <w:rFonts w:ascii="Verdana" w:hAnsi="Verdana"/>
          <w:sz w:val="22"/>
          <w:szCs w:val="22"/>
          <w:lang w:val="hr-HR"/>
        </w:rPr>
        <w:t xml:space="preserve"> stanica</w:t>
      </w:r>
      <w:r>
        <w:rPr>
          <w:rFonts w:ascii="Verdana" w:hAnsi="Verdana"/>
          <w:sz w:val="22"/>
          <w:szCs w:val="22"/>
          <w:lang w:val="hr-HR"/>
        </w:rPr>
        <w:t>. Znači pris</w:t>
      </w:r>
      <w:r w:rsidR="009640AD">
        <w:rPr>
          <w:rFonts w:ascii="Verdana" w:hAnsi="Verdana"/>
          <w:sz w:val="22"/>
          <w:szCs w:val="22"/>
          <w:lang w:val="hr-HR"/>
        </w:rPr>
        <w:t>ut</w:t>
      </w:r>
      <w:r>
        <w:rPr>
          <w:rFonts w:ascii="Verdana" w:hAnsi="Verdana"/>
          <w:sz w:val="22"/>
          <w:szCs w:val="22"/>
          <w:lang w:val="hr-HR"/>
        </w:rPr>
        <w:t>na su 2 ili više genotipova. To su postfertilizacijske pogreške, najviše 1. ili 2. mitoze, tako da su najčešće u D3 embriju. Samokorekcijom se do faze blastociste reduciraju. Definicija euploidnosti podnaša prisustvo 20-40% mozaičnih stanica. To je mješavina diploidnih i aneuploidnih stanica.</w:t>
      </w:r>
    </w:p>
    <w:p w14:paraId="1FF6C1D6" w14:textId="5876F852" w:rsidR="00217FE8" w:rsidRDefault="00217FE8" w:rsidP="009A2478">
      <w:pPr>
        <w:jc w:val="both"/>
        <w:rPr>
          <w:rFonts w:ascii="Verdana" w:hAnsi="Verdana"/>
          <w:sz w:val="22"/>
          <w:szCs w:val="22"/>
          <w:lang w:val="hr-HR"/>
        </w:rPr>
      </w:pPr>
    </w:p>
    <w:p w14:paraId="672149DD" w14:textId="1C9027C0" w:rsidR="00217FE8" w:rsidRDefault="00BE7972" w:rsidP="009A2478">
      <w:pPr>
        <w:jc w:val="both"/>
        <w:rPr>
          <w:rFonts w:ascii="Verdana" w:hAnsi="Verdana"/>
          <w:sz w:val="22"/>
          <w:szCs w:val="22"/>
          <w:lang w:val="hr-HR"/>
        </w:rPr>
      </w:pPr>
      <w:r>
        <w:rPr>
          <w:rFonts w:ascii="Verdana" w:hAnsi="Verdana"/>
          <w:sz w:val="22"/>
          <w:szCs w:val="22"/>
          <w:lang w:val="hr-HR"/>
        </w:rPr>
        <w:lastRenderedPageBreak/>
        <w:t>Osim navedenih PGT-ova danas se unapređuju i neinvazivne metode niPGT- koje analiziraju embrionalni DNA u tekućini blastocela ili u mediju gdje se razvija embrio.</w:t>
      </w:r>
    </w:p>
    <w:p w14:paraId="6151A68C" w14:textId="77777777" w:rsidR="00BE7972" w:rsidRDefault="00BE7972" w:rsidP="009A2478">
      <w:pPr>
        <w:jc w:val="both"/>
        <w:rPr>
          <w:rFonts w:ascii="Verdana" w:hAnsi="Verdana"/>
          <w:sz w:val="22"/>
          <w:szCs w:val="22"/>
          <w:lang w:val="hr-HR"/>
        </w:rPr>
      </w:pPr>
    </w:p>
    <w:p w14:paraId="403B1A1A" w14:textId="375D816A" w:rsidR="00BE7972" w:rsidRDefault="00BE7972" w:rsidP="009A2478">
      <w:pPr>
        <w:jc w:val="both"/>
        <w:rPr>
          <w:rFonts w:ascii="Verdana" w:hAnsi="Verdana"/>
          <w:sz w:val="22"/>
          <w:szCs w:val="22"/>
          <w:lang w:val="hr-HR"/>
        </w:rPr>
      </w:pPr>
      <w:r>
        <w:rPr>
          <w:rFonts w:ascii="Verdana" w:hAnsi="Verdana"/>
          <w:sz w:val="22"/>
          <w:szCs w:val="22"/>
          <w:lang w:val="hr-HR"/>
        </w:rPr>
        <w:t>Moguće indikacije za PGT-A/SR jesu:</w:t>
      </w:r>
    </w:p>
    <w:p w14:paraId="193A9035" w14:textId="77777777" w:rsidR="00BE7972" w:rsidRDefault="00BE7972" w:rsidP="009A2478">
      <w:pPr>
        <w:jc w:val="both"/>
        <w:rPr>
          <w:rFonts w:ascii="Verdana" w:hAnsi="Verdana"/>
          <w:sz w:val="22"/>
          <w:szCs w:val="22"/>
          <w:lang w:val="hr-HR"/>
        </w:rPr>
      </w:pPr>
    </w:p>
    <w:p w14:paraId="50AAAEE0" w14:textId="0D008957"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Dob pacijentice – PGT selekcija umanjuje utjecaj dobi</w:t>
      </w:r>
    </w:p>
    <w:p w14:paraId="68A182E7" w14:textId="3EFCB8B4"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Ponavljani spontani pobačaji</w:t>
      </w:r>
    </w:p>
    <w:p w14:paraId="0046A47E" w14:textId="548DC2E7"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Ponavljani neuspjeh IVF-a, raniji nenormalni nalazi</w:t>
      </w:r>
    </w:p>
    <w:p w14:paraId="5D7AFD98" w14:textId="703104F9"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Ozbiljna muška neplodnost</w:t>
      </w:r>
    </w:p>
    <w:p w14:paraId="2398A830" w14:textId="29BFA92B"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Uspješniji SETR (single ET)</w:t>
      </w:r>
    </w:p>
    <w:p w14:paraId="38C990FE" w14:textId="370665AE"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 xml:space="preserve">Izbjegava se </w:t>
      </w:r>
    </w:p>
    <w:p w14:paraId="0B779A75" w14:textId="6109278C" w:rsidR="00BE7972" w:rsidRDefault="00BE7972" w:rsidP="00BE7972">
      <w:pPr>
        <w:pStyle w:val="ListParagraph"/>
        <w:numPr>
          <w:ilvl w:val="0"/>
          <w:numId w:val="2"/>
        </w:numPr>
        <w:jc w:val="both"/>
        <w:rPr>
          <w:rFonts w:ascii="Verdana" w:hAnsi="Verdana"/>
          <w:sz w:val="22"/>
          <w:szCs w:val="22"/>
          <w:lang w:val="hr-HR"/>
        </w:rPr>
      </w:pPr>
      <w:r>
        <w:rPr>
          <w:rFonts w:ascii="Verdana" w:hAnsi="Verdana"/>
          <w:sz w:val="22"/>
          <w:szCs w:val="22"/>
          <w:lang w:val="hr-HR"/>
        </w:rPr>
        <w:t>ET nevijabilnih zametaka/abnormalnih</w:t>
      </w:r>
    </w:p>
    <w:p w14:paraId="373F137B" w14:textId="0B8B3515" w:rsidR="00BE7972" w:rsidRDefault="009640AD" w:rsidP="00BE7972">
      <w:pPr>
        <w:pStyle w:val="ListParagraph"/>
        <w:numPr>
          <w:ilvl w:val="0"/>
          <w:numId w:val="2"/>
        </w:numPr>
        <w:jc w:val="both"/>
        <w:rPr>
          <w:rFonts w:ascii="Verdana" w:hAnsi="Verdana"/>
          <w:sz w:val="22"/>
          <w:szCs w:val="22"/>
          <w:lang w:val="hr-HR"/>
        </w:rPr>
      </w:pPr>
      <w:r>
        <w:rPr>
          <w:rFonts w:ascii="Verdana" w:hAnsi="Verdana"/>
          <w:sz w:val="22"/>
          <w:szCs w:val="22"/>
          <w:lang w:val="hr-HR"/>
        </w:rPr>
        <w:t>t</w:t>
      </w:r>
      <w:r w:rsidR="00BE7972">
        <w:rPr>
          <w:rFonts w:ascii="Verdana" w:hAnsi="Verdana"/>
          <w:sz w:val="22"/>
          <w:szCs w:val="22"/>
          <w:lang w:val="hr-HR"/>
        </w:rPr>
        <w:t>risomije</w:t>
      </w:r>
    </w:p>
    <w:p w14:paraId="5637D23B" w14:textId="6AB28403" w:rsidR="00BE7972" w:rsidRDefault="00BE7972" w:rsidP="00BE7972">
      <w:pPr>
        <w:pStyle w:val="ListParagraph"/>
        <w:numPr>
          <w:ilvl w:val="0"/>
          <w:numId w:val="2"/>
        </w:numPr>
        <w:jc w:val="both"/>
        <w:rPr>
          <w:rFonts w:ascii="Verdana" w:hAnsi="Verdana"/>
          <w:sz w:val="22"/>
          <w:szCs w:val="22"/>
          <w:lang w:val="hr-HR"/>
        </w:rPr>
      </w:pPr>
      <w:r>
        <w:rPr>
          <w:rFonts w:ascii="Verdana" w:hAnsi="Verdana"/>
          <w:sz w:val="22"/>
          <w:szCs w:val="22"/>
          <w:lang w:val="hr-HR"/>
        </w:rPr>
        <w:t>spontani pobačaji</w:t>
      </w:r>
    </w:p>
    <w:p w14:paraId="5D7F4520" w14:textId="146F32BC"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Dijagnoza spola -za bolesti vezane uz spolni kromosom.</w:t>
      </w:r>
    </w:p>
    <w:p w14:paraId="08FA2307" w14:textId="1CF6711E" w:rsidR="00BE7972" w:rsidRDefault="00BE7972" w:rsidP="00BE7972">
      <w:pPr>
        <w:jc w:val="both"/>
        <w:rPr>
          <w:rFonts w:ascii="Verdana" w:hAnsi="Verdana"/>
          <w:sz w:val="22"/>
          <w:szCs w:val="22"/>
          <w:lang w:val="hr-HR"/>
        </w:rPr>
      </w:pPr>
    </w:p>
    <w:p w14:paraId="355E4658" w14:textId="6FDCA35C" w:rsidR="00BE7972" w:rsidRDefault="00BE7972" w:rsidP="00BE7972">
      <w:pPr>
        <w:jc w:val="both"/>
        <w:rPr>
          <w:rFonts w:ascii="Verdana" w:hAnsi="Verdana"/>
          <w:sz w:val="22"/>
          <w:szCs w:val="22"/>
          <w:lang w:val="hr-HR"/>
        </w:rPr>
      </w:pPr>
      <w:r>
        <w:rPr>
          <w:rFonts w:ascii="Verdana" w:hAnsi="Verdana"/>
          <w:sz w:val="22"/>
          <w:szCs w:val="22"/>
          <w:lang w:val="hr-HR"/>
        </w:rPr>
        <w:t>Ostaje kontroverzno i etički upitno:</w:t>
      </w:r>
    </w:p>
    <w:p w14:paraId="7E7404BE" w14:textId="43E6E4D5" w:rsidR="00BE7972" w:rsidRDefault="00BE7972" w:rsidP="00BE7972">
      <w:pPr>
        <w:jc w:val="both"/>
        <w:rPr>
          <w:rFonts w:ascii="Verdana" w:hAnsi="Verdana"/>
          <w:sz w:val="22"/>
          <w:szCs w:val="22"/>
          <w:lang w:val="hr-HR"/>
        </w:rPr>
      </w:pPr>
    </w:p>
    <w:p w14:paraId="0BE5AA4E" w14:textId="49ED9F27"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Je li potreban PGT-A za sve pacijentice ili samo za selektirane populacije</w:t>
      </w:r>
    </w:p>
    <w:p w14:paraId="3BFF7B14" w14:textId="72AE94A0"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Opravdanost mozaičkog ET (kada nema euploidnih zametaka)</w:t>
      </w:r>
    </w:p>
    <w:p w14:paraId="2E88BDCE" w14:textId="152976ED"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Dijagnoza HLA kompatibilnosti – zbog donacija tkiva</w:t>
      </w:r>
    </w:p>
    <w:p w14:paraId="72C418F1" w14:textId="11669BE2"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Dijagnoza (selekcija) spola – elektivno (tzv. balansiranje obitelji)</w:t>
      </w:r>
    </w:p>
    <w:p w14:paraId="2876EC1E" w14:textId="39AE822D"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Testiranje nekih oblika teškog muškog steriliteta</w:t>
      </w:r>
    </w:p>
    <w:p w14:paraId="103265E1" w14:textId="1CB1E0FA"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Tumačenja i značaj balansiranih translokacija ( u pravilu normalan fenotip).</w:t>
      </w:r>
    </w:p>
    <w:p w14:paraId="6F1087BF" w14:textId="0588C46B" w:rsidR="00BE7972" w:rsidRDefault="00BE7972" w:rsidP="00BE7972">
      <w:pPr>
        <w:jc w:val="both"/>
        <w:rPr>
          <w:rFonts w:ascii="Verdana" w:hAnsi="Verdana"/>
          <w:sz w:val="22"/>
          <w:szCs w:val="22"/>
          <w:lang w:val="hr-HR"/>
        </w:rPr>
      </w:pPr>
    </w:p>
    <w:p w14:paraId="6AE40241" w14:textId="5ED0287B" w:rsidR="00BE7972" w:rsidRDefault="00BE7972" w:rsidP="00BE7972">
      <w:pPr>
        <w:jc w:val="both"/>
        <w:rPr>
          <w:rFonts w:ascii="Verdana" w:hAnsi="Verdana"/>
          <w:sz w:val="22"/>
          <w:szCs w:val="22"/>
          <w:lang w:val="hr-HR"/>
        </w:rPr>
      </w:pPr>
      <w:r>
        <w:rPr>
          <w:rFonts w:ascii="Verdana" w:hAnsi="Verdana"/>
          <w:sz w:val="22"/>
          <w:szCs w:val="22"/>
          <w:lang w:val="hr-HR"/>
        </w:rPr>
        <w:t xml:space="preserve">Etička primjena PGT-a </w:t>
      </w:r>
      <w:r w:rsidR="009640AD">
        <w:rPr>
          <w:rFonts w:ascii="Verdana" w:hAnsi="Verdana"/>
          <w:sz w:val="22"/>
          <w:szCs w:val="22"/>
          <w:lang w:val="hr-HR"/>
        </w:rPr>
        <w:t>z</w:t>
      </w:r>
      <w:r>
        <w:rPr>
          <w:rFonts w:ascii="Verdana" w:hAnsi="Verdana"/>
          <w:sz w:val="22"/>
          <w:szCs w:val="22"/>
          <w:lang w:val="hr-HR"/>
        </w:rPr>
        <w:t>akonski je dopuštena u Republici Hrvatskoj.</w:t>
      </w:r>
    </w:p>
    <w:p w14:paraId="15DC89F1" w14:textId="48A4A623" w:rsidR="00BE7972" w:rsidRDefault="00BE7972" w:rsidP="00BE7972">
      <w:pPr>
        <w:jc w:val="both"/>
        <w:rPr>
          <w:rFonts w:ascii="Verdana" w:hAnsi="Verdana"/>
          <w:sz w:val="22"/>
          <w:szCs w:val="22"/>
          <w:lang w:val="hr-HR"/>
        </w:rPr>
      </w:pPr>
    </w:p>
    <w:p w14:paraId="6F866068" w14:textId="774E3266" w:rsidR="00BE7972" w:rsidRDefault="00BE7972" w:rsidP="00BE7972">
      <w:pPr>
        <w:jc w:val="both"/>
        <w:rPr>
          <w:rFonts w:ascii="Verdana" w:hAnsi="Verdana"/>
          <w:sz w:val="22"/>
          <w:szCs w:val="22"/>
          <w:lang w:val="hr-HR"/>
        </w:rPr>
      </w:pPr>
      <w:r>
        <w:rPr>
          <w:rFonts w:ascii="Verdana" w:hAnsi="Verdana"/>
          <w:sz w:val="22"/>
          <w:szCs w:val="22"/>
          <w:lang w:val="hr-HR"/>
        </w:rPr>
        <w:t>Proponenti za PGT-a ističu da PGT eliminira utjecaj dobi na implantaciju i spontane pobačaje. U žena 41-42 godine učestalost pobačaja je 38% vs.4% (bez PGT-a i s PGT-om). Ipak valja istaknuti negativne učinske i rizike PGT-A. To jesu:</w:t>
      </w:r>
    </w:p>
    <w:p w14:paraId="0DF06DCA" w14:textId="03327A17"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 xml:space="preserve">Fizičko oštećenje embrija kod biopsije </w:t>
      </w:r>
    </w:p>
    <w:p w14:paraId="3C384E73" w14:textId="2352CB83"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Gubitak viabilnih embrija (za ET)</w:t>
      </w:r>
    </w:p>
    <w:p w14:paraId="751316F2" w14:textId="1F8D4002"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Biološke i metodološke pogreške, lažno pozitivni nalazi</w:t>
      </w:r>
    </w:p>
    <w:p w14:paraId="08DD54F6" w14:textId="375C0195" w:rsidR="00BE7972" w:rsidRDefault="00BE7972" w:rsidP="00BE7972">
      <w:pPr>
        <w:pStyle w:val="ListParagraph"/>
        <w:numPr>
          <w:ilvl w:val="0"/>
          <w:numId w:val="1"/>
        </w:numPr>
        <w:jc w:val="both"/>
        <w:rPr>
          <w:rFonts w:ascii="Verdana" w:hAnsi="Verdana"/>
          <w:sz w:val="22"/>
          <w:szCs w:val="22"/>
          <w:lang w:val="hr-HR"/>
        </w:rPr>
      </w:pPr>
      <w:r>
        <w:rPr>
          <w:rFonts w:ascii="Verdana" w:hAnsi="Verdana"/>
          <w:sz w:val="22"/>
          <w:szCs w:val="22"/>
          <w:lang w:val="hr-HR"/>
        </w:rPr>
        <w:t>Izgubljeni ET (</w:t>
      </w:r>
      <w:r w:rsidR="00B77DA6">
        <w:rPr>
          <w:rFonts w:ascii="Symbol" w:hAnsi="Symbol"/>
          <w:sz w:val="22"/>
          <w:szCs w:val="22"/>
          <w:lang w:val="hr-HR"/>
        </w:rPr>
        <w:t xml:space="preserve">» </w:t>
      </w:r>
      <w:r w:rsidR="00B77DA6">
        <w:rPr>
          <w:rFonts w:ascii="Verdana" w:hAnsi="Verdana"/>
          <w:sz w:val="22"/>
          <w:szCs w:val="22"/>
          <w:lang w:val="hr-HR"/>
        </w:rPr>
        <w:t>30%) malo embrija, dob</w:t>
      </w:r>
    </w:p>
    <w:p w14:paraId="5FB59010" w14:textId="5B022AC6" w:rsidR="00B77DA6" w:rsidRDefault="00B77DA6" w:rsidP="00BE7972">
      <w:pPr>
        <w:pStyle w:val="ListParagraph"/>
        <w:numPr>
          <w:ilvl w:val="0"/>
          <w:numId w:val="1"/>
        </w:numPr>
        <w:jc w:val="both"/>
        <w:rPr>
          <w:rFonts w:ascii="Verdana" w:hAnsi="Verdana"/>
          <w:sz w:val="22"/>
          <w:szCs w:val="22"/>
          <w:lang w:val="hr-HR"/>
        </w:rPr>
      </w:pPr>
      <w:r>
        <w:rPr>
          <w:rFonts w:ascii="Verdana" w:hAnsi="Verdana"/>
          <w:sz w:val="22"/>
          <w:szCs w:val="22"/>
          <w:lang w:val="hr-HR"/>
        </w:rPr>
        <w:t>Tehničke – ljudske pogreške, ocjene mozaicizma</w:t>
      </w:r>
    </w:p>
    <w:p w14:paraId="7D2FCB5D" w14:textId="0FC1D4D4" w:rsidR="00B77DA6" w:rsidRDefault="00B77DA6" w:rsidP="00BE7972">
      <w:pPr>
        <w:pStyle w:val="ListParagraph"/>
        <w:numPr>
          <w:ilvl w:val="0"/>
          <w:numId w:val="1"/>
        </w:numPr>
        <w:jc w:val="both"/>
        <w:rPr>
          <w:rFonts w:ascii="Verdana" w:hAnsi="Verdana"/>
          <w:sz w:val="22"/>
          <w:szCs w:val="22"/>
          <w:lang w:val="hr-HR"/>
        </w:rPr>
      </w:pPr>
      <w:r>
        <w:rPr>
          <w:rFonts w:ascii="Verdana" w:hAnsi="Verdana"/>
          <w:sz w:val="22"/>
          <w:szCs w:val="22"/>
          <w:lang w:val="hr-HR"/>
        </w:rPr>
        <w:t>Nesklad PGT nalaza prema abnormalnosti/normalnosti ICM</w:t>
      </w:r>
    </w:p>
    <w:p w14:paraId="1A0E729A" w14:textId="154FE660" w:rsidR="00B77DA6" w:rsidRDefault="00B77DA6" w:rsidP="00B77DA6">
      <w:pPr>
        <w:pStyle w:val="ListParagraph"/>
        <w:numPr>
          <w:ilvl w:val="0"/>
          <w:numId w:val="2"/>
        </w:numPr>
        <w:jc w:val="both"/>
        <w:rPr>
          <w:rFonts w:ascii="Verdana" w:hAnsi="Verdana"/>
          <w:sz w:val="22"/>
          <w:szCs w:val="22"/>
          <w:lang w:val="hr-HR"/>
        </w:rPr>
      </w:pPr>
      <w:r>
        <w:rPr>
          <w:rFonts w:ascii="Verdana" w:hAnsi="Verdana"/>
          <w:sz w:val="22"/>
          <w:szCs w:val="22"/>
          <w:lang w:val="hr-HR"/>
        </w:rPr>
        <w:t>nesklad TE prema statusu I</w:t>
      </w:r>
      <w:r w:rsidR="009640AD">
        <w:rPr>
          <w:rFonts w:ascii="Verdana" w:hAnsi="Verdana"/>
          <w:sz w:val="22"/>
          <w:szCs w:val="22"/>
          <w:lang w:val="hr-HR"/>
        </w:rPr>
        <w:t>C</w:t>
      </w:r>
      <w:r>
        <w:rPr>
          <w:rFonts w:ascii="Verdana" w:hAnsi="Verdana"/>
          <w:sz w:val="22"/>
          <w:szCs w:val="22"/>
          <w:lang w:val="hr-HR"/>
        </w:rPr>
        <w:t>M-a</w:t>
      </w:r>
    </w:p>
    <w:p w14:paraId="375197EE" w14:textId="04A52D8D" w:rsidR="00B77DA6" w:rsidRDefault="00B77DA6" w:rsidP="00B77DA6">
      <w:pPr>
        <w:pStyle w:val="ListParagraph"/>
        <w:numPr>
          <w:ilvl w:val="0"/>
          <w:numId w:val="1"/>
        </w:numPr>
        <w:jc w:val="both"/>
        <w:rPr>
          <w:rFonts w:ascii="Verdana" w:hAnsi="Verdana"/>
          <w:sz w:val="22"/>
          <w:szCs w:val="22"/>
          <w:lang w:val="hr-HR"/>
        </w:rPr>
      </w:pPr>
      <w:r>
        <w:rPr>
          <w:rFonts w:ascii="Verdana" w:hAnsi="Verdana"/>
          <w:sz w:val="22"/>
          <w:szCs w:val="22"/>
          <w:lang w:val="hr-HR"/>
        </w:rPr>
        <w:t>Opća vrijednost PGS – probira.</w:t>
      </w:r>
    </w:p>
    <w:p w14:paraId="4FD12648" w14:textId="355A9F70" w:rsidR="00B77DA6" w:rsidRDefault="00B77DA6" w:rsidP="00B77DA6">
      <w:pPr>
        <w:jc w:val="both"/>
        <w:rPr>
          <w:rFonts w:ascii="Verdana" w:hAnsi="Verdana"/>
          <w:sz w:val="22"/>
          <w:szCs w:val="22"/>
          <w:lang w:val="hr-HR"/>
        </w:rPr>
      </w:pPr>
    </w:p>
    <w:p w14:paraId="70A34AB3" w14:textId="1B8A9602" w:rsidR="00B77DA6" w:rsidRDefault="00B77DA6" w:rsidP="00B77DA6">
      <w:pPr>
        <w:jc w:val="both"/>
        <w:rPr>
          <w:rFonts w:ascii="Verdana" w:hAnsi="Verdana"/>
          <w:sz w:val="22"/>
          <w:szCs w:val="22"/>
          <w:lang w:val="hr-HR"/>
        </w:rPr>
      </w:pPr>
      <w:r>
        <w:rPr>
          <w:rFonts w:ascii="Verdana" w:hAnsi="Verdana"/>
          <w:sz w:val="22"/>
          <w:szCs w:val="22"/>
          <w:lang w:val="hr-HR"/>
        </w:rPr>
        <w:t xml:space="preserve">Svjetske stručne udruge ističu da rutinska uporaba PGT-a za sve (neplodne žene) nije opravdana. također nije utvrđena idealna testna platforma za analizu svih kromosoma. Računa se da je i u optimalnih uvjetima stopa pogrešaka </w:t>
      </w:r>
      <w:r w:rsidR="009640AD">
        <w:rPr>
          <w:rFonts w:ascii="Verdana" w:hAnsi="Verdana"/>
          <w:sz w:val="22"/>
          <w:szCs w:val="22"/>
          <w:lang w:val="hr-HR"/>
        </w:rPr>
        <w:t>5-10</w:t>
      </w:r>
      <w:r>
        <w:rPr>
          <w:rFonts w:ascii="Verdana" w:hAnsi="Verdana"/>
          <w:sz w:val="22"/>
          <w:szCs w:val="22"/>
          <w:lang w:val="hr-HR"/>
        </w:rPr>
        <w:t>%</w:t>
      </w:r>
    </w:p>
    <w:p w14:paraId="75DC0A5F" w14:textId="1586CEC2" w:rsidR="00B77DA6" w:rsidRDefault="00B77DA6" w:rsidP="00B77DA6">
      <w:pPr>
        <w:jc w:val="both"/>
        <w:rPr>
          <w:rFonts w:ascii="Verdana" w:hAnsi="Verdana"/>
          <w:sz w:val="22"/>
          <w:szCs w:val="22"/>
          <w:lang w:val="hr-HR"/>
        </w:rPr>
      </w:pPr>
    </w:p>
    <w:tbl>
      <w:tblPr>
        <w:tblStyle w:val="TableGrid"/>
        <w:tblW w:w="0" w:type="auto"/>
        <w:tblLook w:val="04A0" w:firstRow="1" w:lastRow="0" w:firstColumn="1" w:lastColumn="0" w:noHBand="0" w:noVBand="1"/>
      </w:tblPr>
      <w:tblGrid>
        <w:gridCol w:w="9016"/>
      </w:tblGrid>
      <w:tr w:rsidR="00365AE0" w14:paraId="3C06EA3C" w14:textId="77777777" w:rsidTr="00365AE0">
        <w:tc>
          <w:tcPr>
            <w:tcW w:w="9016" w:type="dxa"/>
          </w:tcPr>
          <w:p w14:paraId="769B39D7" w14:textId="18D9EEE4" w:rsidR="00365AE0" w:rsidRDefault="00365AE0" w:rsidP="00B77DA6">
            <w:pPr>
              <w:jc w:val="both"/>
              <w:rPr>
                <w:rFonts w:ascii="Verdana" w:hAnsi="Verdana"/>
                <w:sz w:val="22"/>
                <w:szCs w:val="22"/>
                <w:lang w:val="hr-HR"/>
              </w:rPr>
            </w:pPr>
            <w:r>
              <w:rPr>
                <w:rFonts w:ascii="Verdana" w:hAnsi="Verdana"/>
                <w:sz w:val="22"/>
                <w:szCs w:val="22"/>
                <w:lang w:val="hr-HR"/>
              </w:rPr>
              <w:t>Poliklinika IVF dio je PRONATAL grupe, te pacijente priprema, obradi i šalje na konzultacije i postupak PGT-A u Prag. Konzultacije se u Poliklinici IVF obavljaju i preko video poziva.</w:t>
            </w:r>
          </w:p>
        </w:tc>
      </w:tr>
    </w:tbl>
    <w:p w14:paraId="6FB69FD9" w14:textId="77777777" w:rsidR="00B77DA6" w:rsidRPr="00B77DA6" w:rsidRDefault="00B77DA6" w:rsidP="00B77DA6">
      <w:pPr>
        <w:jc w:val="both"/>
        <w:rPr>
          <w:rFonts w:ascii="Verdana" w:hAnsi="Verdana"/>
          <w:sz w:val="22"/>
          <w:szCs w:val="22"/>
          <w:lang w:val="hr-HR"/>
        </w:rPr>
      </w:pPr>
    </w:p>
    <w:p w14:paraId="6F05136B" w14:textId="77777777" w:rsidR="00BE7972" w:rsidRPr="00BE7972" w:rsidRDefault="00BE7972" w:rsidP="00BE7972">
      <w:pPr>
        <w:jc w:val="both"/>
        <w:rPr>
          <w:rFonts w:ascii="Verdana" w:hAnsi="Verdana"/>
          <w:sz w:val="22"/>
          <w:szCs w:val="22"/>
          <w:lang w:val="hr-HR"/>
        </w:rPr>
      </w:pPr>
    </w:p>
    <w:sectPr w:rsidR="00BE7972" w:rsidRPr="00BE79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8466" w14:textId="77777777" w:rsidR="001C1FF2" w:rsidRDefault="001C1FF2" w:rsidP="001E365B">
      <w:r>
        <w:separator/>
      </w:r>
    </w:p>
  </w:endnote>
  <w:endnote w:type="continuationSeparator" w:id="0">
    <w:p w14:paraId="02D7C28C" w14:textId="77777777" w:rsidR="001C1FF2" w:rsidRDefault="001C1FF2" w:rsidP="001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E6A7" w14:textId="77777777" w:rsidR="001C1FF2" w:rsidRDefault="001C1FF2" w:rsidP="001E365B">
      <w:r>
        <w:separator/>
      </w:r>
    </w:p>
  </w:footnote>
  <w:footnote w:type="continuationSeparator" w:id="0">
    <w:p w14:paraId="6AF00CFC" w14:textId="77777777" w:rsidR="001C1FF2" w:rsidRDefault="001C1FF2" w:rsidP="001E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4CEC" w14:textId="0D146C36" w:rsidR="001E365B" w:rsidRDefault="001E365B" w:rsidP="001E365B">
    <w:pPr>
      <w:pStyle w:val="Header"/>
      <w:jc w:val="right"/>
    </w:pPr>
    <w:r>
      <w:rPr>
        <w:rStyle w:val="Zadanifontodlomka"/>
        <w:noProof/>
        <w:sz w:val="20"/>
        <w:szCs w:val="20"/>
      </w:rPr>
      <w:drawing>
        <wp:inline distT="0" distB="0" distL="0" distR="0" wp14:anchorId="6388169A" wp14:editId="76D7FA9E">
          <wp:extent cx="620173" cy="516809"/>
          <wp:effectExtent l="0" t="0" r="2127" b="3891"/>
          <wp:docPr id="1" name="Slika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Slika 1" descr="Diagram&#10;&#10;Description automatically generated"/>
                  <pic:cNvPicPr/>
                </pic:nvPicPr>
                <pic:blipFill>
                  <a:blip r:embed="rId1"/>
                  <a:srcRect/>
                  <a:stretch>
                    <a:fillRect/>
                  </a:stretch>
                </pic:blipFill>
                <pic:spPr>
                  <a:xfrm>
                    <a:off x="0" y="0"/>
                    <a:ext cx="620173" cy="51680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C42"/>
    <w:multiLevelType w:val="hybridMultilevel"/>
    <w:tmpl w:val="B08C5DAA"/>
    <w:lvl w:ilvl="0" w:tplc="ED5C90A6">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35F2B"/>
    <w:multiLevelType w:val="hybridMultilevel"/>
    <w:tmpl w:val="A2122614"/>
    <w:lvl w:ilvl="0" w:tplc="7132FAE4">
      <w:start w:val="17"/>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12365245">
    <w:abstractNumId w:val="0"/>
  </w:num>
  <w:num w:numId="2" w16cid:durableId="485169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78"/>
    <w:rsid w:val="001C1FF2"/>
    <w:rsid w:val="001E365B"/>
    <w:rsid w:val="00217FE8"/>
    <w:rsid w:val="00365AE0"/>
    <w:rsid w:val="00400E16"/>
    <w:rsid w:val="009640AD"/>
    <w:rsid w:val="009A2478"/>
    <w:rsid w:val="00B77DA6"/>
    <w:rsid w:val="00BE7972"/>
    <w:rsid w:val="00F41A4C"/>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1F5F666"/>
  <w15:chartTrackingRefBased/>
  <w15:docId w15:val="{E6FD33A9-AD9B-CA46-8678-BF6927E2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4C"/>
    <w:pPr>
      <w:ind w:left="720"/>
      <w:contextualSpacing/>
    </w:pPr>
  </w:style>
  <w:style w:type="table" w:styleId="TableGrid">
    <w:name w:val="Table Grid"/>
    <w:basedOn w:val="TableNormal"/>
    <w:uiPriority w:val="39"/>
    <w:rsid w:val="0036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65B"/>
    <w:pPr>
      <w:tabs>
        <w:tab w:val="center" w:pos="4513"/>
        <w:tab w:val="right" w:pos="9026"/>
      </w:tabs>
    </w:pPr>
  </w:style>
  <w:style w:type="character" w:customStyle="1" w:styleId="HeaderChar">
    <w:name w:val="Header Char"/>
    <w:basedOn w:val="DefaultParagraphFont"/>
    <w:link w:val="Header"/>
    <w:uiPriority w:val="99"/>
    <w:rsid w:val="001E365B"/>
  </w:style>
  <w:style w:type="paragraph" w:styleId="Footer">
    <w:name w:val="footer"/>
    <w:basedOn w:val="Normal"/>
    <w:link w:val="FooterChar"/>
    <w:uiPriority w:val="99"/>
    <w:unhideWhenUsed/>
    <w:rsid w:val="001E365B"/>
    <w:pPr>
      <w:tabs>
        <w:tab w:val="center" w:pos="4513"/>
        <w:tab w:val="right" w:pos="9026"/>
      </w:tabs>
    </w:pPr>
  </w:style>
  <w:style w:type="character" w:customStyle="1" w:styleId="FooterChar">
    <w:name w:val="Footer Char"/>
    <w:basedOn w:val="DefaultParagraphFont"/>
    <w:link w:val="Footer"/>
    <w:uiPriority w:val="99"/>
    <w:rsid w:val="001E365B"/>
  </w:style>
  <w:style w:type="character" w:customStyle="1" w:styleId="Zadanifontodlomka">
    <w:name w:val="Zadani font odlomka"/>
    <w:rsid w:val="001E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simunic</dc:creator>
  <cp:keywords/>
  <dc:description/>
  <cp:lastModifiedBy>anita simunic</cp:lastModifiedBy>
  <cp:revision>10</cp:revision>
  <dcterms:created xsi:type="dcterms:W3CDTF">2022-01-03T07:47:00Z</dcterms:created>
  <dcterms:modified xsi:type="dcterms:W3CDTF">2023-03-25T17:11:00Z</dcterms:modified>
</cp:coreProperties>
</file>